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40D61" w14:textId="77777777" w:rsidR="00911F4F" w:rsidRPr="00911F4F" w:rsidRDefault="00911F4F" w:rsidP="00911F4F">
      <w:pPr>
        <w:spacing w:after="0" w:line="240" w:lineRule="auto"/>
        <w:jc w:val="center"/>
        <w:rPr>
          <w:rFonts w:ascii="Garamond" w:hAnsi="Garamond" w:cs="Arial"/>
          <w:b/>
          <w:sz w:val="24"/>
          <w:szCs w:val="24"/>
        </w:rPr>
      </w:pPr>
      <w:r w:rsidRPr="00911F4F">
        <w:rPr>
          <w:rFonts w:ascii="Garamond" w:hAnsi="Garamond" w:cs="Arial"/>
          <w:b/>
          <w:sz w:val="24"/>
          <w:szCs w:val="24"/>
        </w:rPr>
        <w:t>Foire aux questions</w:t>
      </w:r>
      <w:r w:rsidRPr="00911F4F">
        <w:rPr>
          <w:rFonts w:ascii="Garamond" w:hAnsi="Garamond" w:cs="Arial"/>
          <w:b/>
          <w:sz w:val="24"/>
          <w:szCs w:val="24"/>
        </w:rPr>
        <w:t xml:space="preserve"> – Webinaire du 2 juillet 2026</w:t>
      </w:r>
    </w:p>
    <w:p w14:paraId="4AD1FE68" w14:textId="1E57640F" w:rsidR="00911F4F" w:rsidRDefault="00911F4F" w:rsidP="00911F4F">
      <w:pPr>
        <w:spacing w:after="0" w:line="240" w:lineRule="auto"/>
        <w:jc w:val="center"/>
        <w:rPr>
          <w:rFonts w:ascii="Garamond" w:hAnsi="Garamond" w:cs="Arial"/>
          <w:b/>
          <w:sz w:val="24"/>
          <w:szCs w:val="24"/>
        </w:rPr>
      </w:pPr>
      <w:r w:rsidRPr="00911F4F">
        <w:rPr>
          <w:rFonts w:ascii="Garamond" w:hAnsi="Garamond" w:cs="Arial"/>
          <w:b/>
          <w:sz w:val="24"/>
          <w:szCs w:val="24"/>
        </w:rPr>
        <w:t>Demandes de paiement et contrôle de service fait sur fonds européens</w:t>
      </w:r>
    </w:p>
    <w:p w14:paraId="19A668CC" w14:textId="45B47DBE" w:rsidR="00ED5DE7" w:rsidRDefault="00ED5DE7" w:rsidP="00911F4F">
      <w:pPr>
        <w:spacing w:after="0" w:line="240" w:lineRule="auto"/>
        <w:jc w:val="center"/>
        <w:rPr>
          <w:rFonts w:ascii="Garamond" w:hAnsi="Garamond" w:cs="Arial"/>
          <w:b/>
          <w:sz w:val="24"/>
          <w:szCs w:val="24"/>
        </w:rPr>
      </w:pPr>
      <w:r>
        <w:rPr>
          <w:rFonts w:ascii="Garamond" w:hAnsi="Garamond" w:cs="Arial"/>
          <w:b/>
          <w:sz w:val="24"/>
          <w:szCs w:val="24"/>
        </w:rPr>
        <w:t>Région Guadeloupe – Autorité de gestion</w:t>
      </w:r>
    </w:p>
    <w:p w14:paraId="7519BE85" w14:textId="77777777" w:rsidR="00911F4F" w:rsidRPr="00911F4F" w:rsidRDefault="00911F4F" w:rsidP="00911F4F">
      <w:pPr>
        <w:spacing w:after="0" w:line="240" w:lineRule="auto"/>
        <w:jc w:val="center"/>
        <w:rPr>
          <w:rFonts w:ascii="Garamond" w:hAnsi="Garamond" w:cs="Arial"/>
          <w:b/>
          <w:sz w:val="24"/>
          <w:szCs w:val="24"/>
        </w:rPr>
      </w:pPr>
    </w:p>
    <w:p w14:paraId="77AEF890" w14:textId="77777777" w:rsidR="00911F4F" w:rsidRPr="00911F4F" w:rsidRDefault="00911F4F" w:rsidP="00911F4F">
      <w:pPr>
        <w:spacing w:after="0" w:line="240" w:lineRule="auto"/>
        <w:rPr>
          <w:rFonts w:ascii="Garamond" w:hAnsi="Garamond" w:cs="Arial"/>
          <w:sz w:val="24"/>
          <w:szCs w:val="24"/>
        </w:rPr>
      </w:pPr>
    </w:p>
    <w:p w14:paraId="0E829D15" w14:textId="77777777" w:rsidR="00911F4F" w:rsidRPr="00911F4F" w:rsidRDefault="00911F4F" w:rsidP="00911F4F">
      <w:pPr>
        <w:pStyle w:val="Paragraphedeliste"/>
        <w:numPr>
          <w:ilvl w:val="0"/>
          <w:numId w:val="1"/>
        </w:numPr>
        <w:spacing w:after="0" w:line="240" w:lineRule="auto"/>
        <w:rPr>
          <w:rFonts w:ascii="Garamond" w:hAnsi="Garamond" w:cs="Arial"/>
          <w:b/>
          <w:sz w:val="24"/>
          <w:szCs w:val="24"/>
          <w:highlight w:val="lightGray"/>
        </w:rPr>
      </w:pPr>
      <w:r w:rsidRPr="00911F4F">
        <w:rPr>
          <w:rFonts w:ascii="Garamond" w:hAnsi="Garamond" w:cs="Arial"/>
          <w:b/>
          <w:sz w:val="24"/>
          <w:szCs w:val="24"/>
          <w:highlight w:val="lightGray"/>
        </w:rPr>
        <w:t>Pour les OCS, quelle règle ?</w:t>
      </w:r>
    </w:p>
    <w:p w14:paraId="43D0F057" w14:textId="77777777" w:rsidR="00911F4F" w:rsidRPr="00911F4F" w:rsidRDefault="00911F4F" w:rsidP="00911F4F">
      <w:pPr>
        <w:spacing w:after="0" w:line="240" w:lineRule="auto"/>
        <w:rPr>
          <w:rFonts w:ascii="Garamond" w:hAnsi="Garamond" w:cs="Arial"/>
          <w:sz w:val="24"/>
          <w:szCs w:val="24"/>
        </w:rPr>
      </w:pPr>
    </w:p>
    <w:p w14:paraId="41A11EE9"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Les options de coûts simplifiés ne fonctionnent pas comme les dépenses déclarées au coût réel.</w:t>
      </w:r>
    </w:p>
    <w:p w14:paraId="5D2B9A4C" w14:textId="77777777" w:rsidR="00911F4F" w:rsidRPr="00911F4F" w:rsidRDefault="00911F4F" w:rsidP="00911F4F">
      <w:pPr>
        <w:spacing w:after="0" w:line="240" w:lineRule="auto"/>
        <w:jc w:val="both"/>
        <w:rPr>
          <w:rFonts w:ascii="Garamond" w:hAnsi="Garamond" w:cs="Arial"/>
          <w:sz w:val="24"/>
          <w:szCs w:val="24"/>
        </w:rPr>
      </w:pPr>
    </w:p>
    <w:p w14:paraId="6CCB44A7"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 xml:space="preserve">Lorsque l’opération prévoit une OCS, le bénéficiaire n’a pas à justifier chaque dépense réelle couverte par cette option au moyen de factures. En revanche, il doit </w:t>
      </w:r>
      <w:r>
        <w:rPr>
          <w:rFonts w:ascii="Garamond" w:hAnsi="Garamond" w:cs="Arial"/>
          <w:sz w:val="24"/>
          <w:szCs w:val="24"/>
        </w:rPr>
        <w:t>prévoir, en cas de contrôle,</w:t>
      </w:r>
      <w:r w:rsidRPr="00911F4F">
        <w:rPr>
          <w:rFonts w:ascii="Garamond" w:hAnsi="Garamond" w:cs="Arial"/>
          <w:sz w:val="24"/>
          <w:szCs w:val="24"/>
        </w:rPr>
        <w:t xml:space="preserve"> les éléments permettant de démontrer que les conditions de paiement sont remplies : réalisation effective de l’action, livrables, indicateurs, unités réalisées, temps passé ou tout autre élément prévu par la méthode applicable.</w:t>
      </w:r>
    </w:p>
    <w:p w14:paraId="4D159BD9" w14:textId="77777777" w:rsidR="00911F4F" w:rsidRPr="00911F4F" w:rsidRDefault="00911F4F" w:rsidP="00911F4F">
      <w:pPr>
        <w:spacing w:after="0" w:line="240" w:lineRule="auto"/>
        <w:jc w:val="both"/>
        <w:rPr>
          <w:rFonts w:ascii="Garamond" w:hAnsi="Garamond" w:cs="Arial"/>
          <w:sz w:val="24"/>
          <w:szCs w:val="24"/>
        </w:rPr>
      </w:pPr>
    </w:p>
    <w:p w14:paraId="5108C44C"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Les OCS doivent être prévues dans la convention, l’appel à projets ou les règles applicables au dispositif. Elles ne peuvent pas être appliquées librement si elles n’ont pas été retenues dans le cadre de l’opération.</w:t>
      </w:r>
    </w:p>
    <w:p w14:paraId="585F8A19" w14:textId="77777777" w:rsidR="00911F4F" w:rsidRPr="00911F4F" w:rsidRDefault="00911F4F" w:rsidP="00911F4F">
      <w:pPr>
        <w:spacing w:after="0" w:line="240" w:lineRule="auto"/>
        <w:jc w:val="both"/>
        <w:rPr>
          <w:rFonts w:ascii="Garamond" w:hAnsi="Garamond" w:cs="Arial"/>
          <w:sz w:val="24"/>
          <w:szCs w:val="24"/>
        </w:rPr>
      </w:pPr>
    </w:p>
    <w:p w14:paraId="6441CFE6"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Une vigilance particulière doit également être portée à l’absence de double financement : une dépense couverte par une OCS ne doit pas être présentée une seconde fois au coût réel.</w:t>
      </w:r>
    </w:p>
    <w:p w14:paraId="4BD19D32" w14:textId="77777777" w:rsidR="00911F4F" w:rsidRPr="00911F4F" w:rsidRDefault="00911F4F" w:rsidP="00911F4F">
      <w:pPr>
        <w:spacing w:after="0" w:line="240" w:lineRule="auto"/>
        <w:rPr>
          <w:rFonts w:ascii="Garamond" w:hAnsi="Garamond" w:cs="Arial"/>
          <w:sz w:val="24"/>
          <w:szCs w:val="24"/>
        </w:rPr>
      </w:pPr>
    </w:p>
    <w:p w14:paraId="43885D8E" w14:textId="77777777" w:rsidR="00911F4F" w:rsidRPr="00911F4F" w:rsidRDefault="00911F4F" w:rsidP="00911F4F">
      <w:pPr>
        <w:pStyle w:val="Paragraphedeliste"/>
        <w:numPr>
          <w:ilvl w:val="0"/>
          <w:numId w:val="1"/>
        </w:numPr>
        <w:spacing w:after="0" w:line="240" w:lineRule="auto"/>
        <w:rPr>
          <w:rFonts w:ascii="Garamond" w:hAnsi="Garamond" w:cs="Arial"/>
          <w:b/>
          <w:sz w:val="24"/>
          <w:szCs w:val="24"/>
          <w:highlight w:val="lightGray"/>
        </w:rPr>
      </w:pPr>
      <w:r w:rsidRPr="00911F4F">
        <w:rPr>
          <w:rFonts w:ascii="Garamond" w:hAnsi="Garamond" w:cs="Arial"/>
          <w:b/>
          <w:sz w:val="24"/>
          <w:szCs w:val="24"/>
          <w:highlight w:val="lightGray"/>
        </w:rPr>
        <w:t>Bulletins de salaire et journal de paie : les deux sont-ils nécessaires ?</w:t>
      </w:r>
    </w:p>
    <w:p w14:paraId="6179FAFB" w14:textId="77777777" w:rsidR="00911F4F" w:rsidRPr="00911F4F" w:rsidRDefault="00911F4F" w:rsidP="00911F4F">
      <w:pPr>
        <w:spacing w:after="0" w:line="240" w:lineRule="auto"/>
        <w:rPr>
          <w:rFonts w:ascii="Garamond" w:hAnsi="Garamond" w:cs="Arial"/>
          <w:sz w:val="24"/>
          <w:szCs w:val="24"/>
        </w:rPr>
      </w:pPr>
    </w:p>
    <w:p w14:paraId="1F9E6CB1"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Pour les dépenses de personnel déclarées au coût réel, les bulletins de salaire sont en principe nécessaires.</w:t>
      </w:r>
    </w:p>
    <w:p w14:paraId="1BBC7F4C" w14:textId="77777777" w:rsidR="00911F4F" w:rsidRPr="00911F4F" w:rsidRDefault="00911F4F" w:rsidP="00911F4F">
      <w:pPr>
        <w:spacing w:after="0" w:line="240" w:lineRule="auto"/>
        <w:jc w:val="both"/>
        <w:rPr>
          <w:rFonts w:ascii="Garamond" w:hAnsi="Garamond" w:cs="Arial"/>
          <w:sz w:val="24"/>
          <w:szCs w:val="24"/>
        </w:rPr>
      </w:pPr>
    </w:p>
    <w:p w14:paraId="296C348B"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Le journal de paie, la DSN, la DADS ou un document équivalent peuvent également être demandés afin de fiabiliser le rapprochement entre les montants déclarés, les charges retenues, les périodes concernées et les éléments comptables.</w:t>
      </w:r>
    </w:p>
    <w:p w14:paraId="3728793C" w14:textId="77777777" w:rsidR="00911F4F" w:rsidRPr="00911F4F" w:rsidRDefault="00911F4F" w:rsidP="00911F4F">
      <w:pPr>
        <w:spacing w:after="0" w:line="240" w:lineRule="auto"/>
        <w:jc w:val="both"/>
        <w:rPr>
          <w:rFonts w:ascii="Garamond" w:hAnsi="Garamond" w:cs="Arial"/>
          <w:sz w:val="24"/>
          <w:szCs w:val="24"/>
        </w:rPr>
      </w:pPr>
    </w:p>
    <w:p w14:paraId="26BFCA3D" w14:textId="77777777" w:rsid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L’objectif du contrôle est de vérifier que les montants déclarés correspondent bien à des charges réellement supportées par le bénéficiaire, qu’elles se rattachent à l’opération et qu’elles n’ont pas déjà été valorisées ailleurs.</w:t>
      </w:r>
    </w:p>
    <w:p w14:paraId="26BE5F07" w14:textId="77777777" w:rsidR="00911F4F" w:rsidRPr="00911F4F" w:rsidRDefault="00911F4F" w:rsidP="00911F4F">
      <w:pPr>
        <w:spacing w:after="0" w:line="240" w:lineRule="auto"/>
        <w:jc w:val="both"/>
        <w:rPr>
          <w:rFonts w:ascii="Garamond" w:hAnsi="Garamond" w:cs="Arial"/>
          <w:sz w:val="24"/>
          <w:szCs w:val="24"/>
        </w:rPr>
      </w:pPr>
    </w:p>
    <w:p w14:paraId="7050535A" w14:textId="77777777" w:rsidR="00911F4F" w:rsidRPr="00911F4F" w:rsidRDefault="00911F4F" w:rsidP="00911F4F">
      <w:pPr>
        <w:pStyle w:val="Paragraphedeliste"/>
        <w:numPr>
          <w:ilvl w:val="0"/>
          <w:numId w:val="1"/>
        </w:numPr>
        <w:spacing w:after="0" w:line="240" w:lineRule="auto"/>
        <w:rPr>
          <w:rFonts w:ascii="Garamond" w:hAnsi="Garamond" w:cs="Arial"/>
          <w:b/>
          <w:sz w:val="24"/>
          <w:szCs w:val="24"/>
          <w:highlight w:val="lightGray"/>
        </w:rPr>
      </w:pPr>
      <w:r w:rsidRPr="00911F4F">
        <w:rPr>
          <w:rFonts w:ascii="Garamond" w:hAnsi="Garamond" w:cs="Arial"/>
          <w:b/>
          <w:sz w:val="24"/>
          <w:szCs w:val="24"/>
          <w:highlight w:val="lightGray"/>
        </w:rPr>
        <w:t>Les relevés bancaires suffisent-ils ?</w:t>
      </w:r>
    </w:p>
    <w:p w14:paraId="549A8C4B" w14:textId="77777777" w:rsidR="00911F4F" w:rsidRPr="00911F4F" w:rsidRDefault="00911F4F" w:rsidP="00911F4F">
      <w:pPr>
        <w:spacing w:after="0" w:line="240" w:lineRule="auto"/>
        <w:jc w:val="both"/>
        <w:rPr>
          <w:rFonts w:ascii="Garamond" w:hAnsi="Garamond" w:cs="Arial"/>
          <w:sz w:val="24"/>
          <w:szCs w:val="24"/>
        </w:rPr>
      </w:pPr>
    </w:p>
    <w:p w14:paraId="480508F7"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Les relevés bancaires peuvent permettre de justifier l’acquittement d’une dépense lorsqu’ils font clairement apparaître le paiement.</w:t>
      </w:r>
    </w:p>
    <w:p w14:paraId="0435BEE8" w14:textId="77777777" w:rsidR="00911F4F" w:rsidRPr="00911F4F" w:rsidRDefault="00911F4F" w:rsidP="00911F4F">
      <w:pPr>
        <w:spacing w:after="0" w:line="240" w:lineRule="auto"/>
        <w:rPr>
          <w:rFonts w:ascii="Garamond" w:hAnsi="Garamond" w:cs="Arial"/>
          <w:sz w:val="24"/>
          <w:szCs w:val="24"/>
        </w:rPr>
      </w:pPr>
    </w:p>
    <w:p w14:paraId="1CE96F39"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En revanche, ils ne suffisent pas à eux seuls à justifier l’éligibilité de la dépense. Il faut également produire les pièces permettant de vérifier la nature de la dépense, son rattachement à l’opération, sa réalisation effective et, le cas échéant, le respect des règles de mise en concurrence ou de commande publique.</w:t>
      </w:r>
    </w:p>
    <w:p w14:paraId="425CA63D" w14:textId="77777777" w:rsidR="00911F4F" w:rsidRPr="00911F4F" w:rsidRDefault="00911F4F" w:rsidP="00911F4F">
      <w:pPr>
        <w:spacing w:after="0" w:line="240" w:lineRule="auto"/>
        <w:rPr>
          <w:rFonts w:ascii="Garamond" w:hAnsi="Garamond" w:cs="Arial"/>
          <w:sz w:val="24"/>
          <w:szCs w:val="24"/>
        </w:rPr>
      </w:pPr>
    </w:p>
    <w:p w14:paraId="77624567"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Une dépense doit donc être justifiée à la fois dans sa nature, dans son montant, dans son paiement et dans son lien avec le projet cofinancé.</w:t>
      </w:r>
    </w:p>
    <w:p w14:paraId="100D790E" w14:textId="77777777" w:rsidR="00911F4F" w:rsidRDefault="00911F4F" w:rsidP="00911F4F">
      <w:pPr>
        <w:spacing w:after="0" w:line="240" w:lineRule="auto"/>
        <w:rPr>
          <w:rFonts w:ascii="Garamond" w:hAnsi="Garamond" w:cs="Arial"/>
          <w:sz w:val="24"/>
          <w:szCs w:val="24"/>
        </w:rPr>
      </w:pPr>
    </w:p>
    <w:p w14:paraId="6FE9D2A5" w14:textId="77777777" w:rsidR="00911F4F" w:rsidRDefault="00911F4F" w:rsidP="00911F4F">
      <w:pPr>
        <w:spacing w:after="0" w:line="240" w:lineRule="auto"/>
        <w:rPr>
          <w:rFonts w:ascii="Garamond" w:hAnsi="Garamond" w:cs="Arial"/>
          <w:sz w:val="24"/>
          <w:szCs w:val="24"/>
        </w:rPr>
      </w:pPr>
    </w:p>
    <w:p w14:paraId="7842E57F" w14:textId="77777777" w:rsidR="00911F4F" w:rsidRDefault="00911F4F" w:rsidP="00911F4F">
      <w:pPr>
        <w:spacing w:after="0" w:line="240" w:lineRule="auto"/>
        <w:rPr>
          <w:rFonts w:ascii="Garamond" w:hAnsi="Garamond" w:cs="Arial"/>
          <w:sz w:val="24"/>
          <w:szCs w:val="24"/>
        </w:rPr>
      </w:pPr>
    </w:p>
    <w:p w14:paraId="396B2628" w14:textId="77777777" w:rsidR="00911F4F" w:rsidRDefault="00911F4F" w:rsidP="00911F4F">
      <w:pPr>
        <w:spacing w:after="0" w:line="240" w:lineRule="auto"/>
        <w:rPr>
          <w:rFonts w:ascii="Garamond" w:hAnsi="Garamond" w:cs="Arial"/>
          <w:sz w:val="24"/>
          <w:szCs w:val="24"/>
        </w:rPr>
      </w:pPr>
    </w:p>
    <w:p w14:paraId="5EA3B175" w14:textId="77777777" w:rsidR="00911F4F" w:rsidRPr="00911F4F" w:rsidRDefault="00911F4F" w:rsidP="00911F4F">
      <w:pPr>
        <w:spacing w:after="0" w:line="240" w:lineRule="auto"/>
        <w:rPr>
          <w:rFonts w:ascii="Garamond" w:hAnsi="Garamond" w:cs="Arial"/>
          <w:sz w:val="24"/>
          <w:szCs w:val="24"/>
        </w:rPr>
      </w:pPr>
    </w:p>
    <w:p w14:paraId="48DBC90B" w14:textId="77777777" w:rsidR="00911F4F" w:rsidRPr="00911F4F" w:rsidRDefault="00911F4F" w:rsidP="00911F4F">
      <w:pPr>
        <w:pStyle w:val="Paragraphedeliste"/>
        <w:numPr>
          <w:ilvl w:val="0"/>
          <w:numId w:val="1"/>
        </w:numPr>
        <w:spacing w:after="0" w:line="240" w:lineRule="auto"/>
        <w:rPr>
          <w:rFonts w:ascii="Garamond" w:hAnsi="Garamond" w:cs="Arial"/>
          <w:b/>
          <w:sz w:val="24"/>
          <w:szCs w:val="24"/>
          <w:highlight w:val="lightGray"/>
        </w:rPr>
      </w:pPr>
      <w:r w:rsidRPr="00911F4F">
        <w:rPr>
          <w:rFonts w:ascii="Garamond" w:hAnsi="Garamond" w:cs="Arial"/>
          <w:b/>
          <w:sz w:val="24"/>
          <w:szCs w:val="24"/>
          <w:highlight w:val="lightGray"/>
        </w:rPr>
        <w:t>Les fiches de paie sont-elles obligatoires ?</w:t>
      </w:r>
    </w:p>
    <w:p w14:paraId="32BC8848" w14:textId="77777777" w:rsidR="00911F4F" w:rsidRPr="00911F4F" w:rsidRDefault="00911F4F" w:rsidP="00911F4F">
      <w:pPr>
        <w:spacing w:after="0" w:line="240" w:lineRule="auto"/>
        <w:rPr>
          <w:rFonts w:ascii="Garamond" w:hAnsi="Garamond" w:cs="Arial"/>
          <w:sz w:val="24"/>
          <w:szCs w:val="24"/>
        </w:rPr>
      </w:pPr>
    </w:p>
    <w:p w14:paraId="05C51178"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Oui, pour les dépenses de personnel déclarées au coût réel, les fiches de paie sont en principe obligatoires.</w:t>
      </w:r>
      <w:r>
        <w:rPr>
          <w:rFonts w:ascii="Garamond" w:hAnsi="Garamond" w:cs="Arial"/>
          <w:sz w:val="24"/>
          <w:szCs w:val="24"/>
        </w:rPr>
        <w:t xml:space="preserve"> </w:t>
      </w:r>
      <w:r w:rsidRPr="00911F4F">
        <w:rPr>
          <w:rFonts w:ascii="Garamond" w:hAnsi="Garamond" w:cs="Arial"/>
          <w:sz w:val="24"/>
          <w:szCs w:val="24"/>
        </w:rPr>
        <w:t>Elles permettent de justifier la rémunération, les charges sociales, la période concernée et le lien avec la personne déclarée sur l’opération.</w:t>
      </w:r>
    </w:p>
    <w:p w14:paraId="743BDDDD" w14:textId="77777777" w:rsidR="00911F4F" w:rsidRPr="00911F4F" w:rsidRDefault="00911F4F" w:rsidP="00911F4F">
      <w:pPr>
        <w:spacing w:after="0" w:line="240" w:lineRule="auto"/>
        <w:rPr>
          <w:rFonts w:ascii="Garamond" w:hAnsi="Garamond" w:cs="Arial"/>
          <w:sz w:val="24"/>
          <w:szCs w:val="24"/>
        </w:rPr>
      </w:pPr>
    </w:p>
    <w:p w14:paraId="37BB6D1C"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Lorsque les dépenses de personnel sont déclarées selon une option de coût simplifié, les pièces attendues peuvent être différentes. Dans ce cas, il convient de se référer à la méthode prévue par la convention ou par les règles applicables au dispositif.</w:t>
      </w:r>
    </w:p>
    <w:p w14:paraId="2C558E89" w14:textId="77777777" w:rsidR="00911F4F" w:rsidRPr="00911F4F" w:rsidRDefault="00911F4F" w:rsidP="00911F4F">
      <w:pPr>
        <w:spacing w:after="0" w:line="240" w:lineRule="auto"/>
        <w:rPr>
          <w:rFonts w:ascii="Garamond" w:hAnsi="Garamond" w:cs="Arial"/>
          <w:sz w:val="24"/>
          <w:szCs w:val="24"/>
        </w:rPr>
      </w:pPr>
    </w:p>
    <w:p w14:paraId="6949DC8F" w14:textId="77777777" w:rsidR="00911F4F" w:rsidRPr="00911F4F" w:rsidRDefault="00911F4F" w:rsidP="00911F4F">
      <w:pPr>
        <w:pStyle w:val="Paragraphedeliste"/>
        <w:numPr>
          <w:ilvl w:val="0"/>
          <w:numId w:val="1"/>
        </w:numPr>
        <w:spacing w:after="0" w:line="240" w:lineRule="auto"/>
        <w:rPr>
          <w:rFonts w:ascii="Garamond" w:hAnsi="Garamond" w:cs="Arial"/>
          <w:b/>
          <w:sz w:val="24"/>
          <w:szCs w:val="24"/>
          <w:highlight w:val="lightGray"/>
        </w:rPr>
      </w:pPr>
      <w:r w:rsidRPr="00911F4F">
        <w:rPr>
          <w:rFonts w:ascii="Garamond" w:hAnsi="Garamond" w:cs="Arial"/>
          <w:b/>
          <w:sz w:val="24"/>
          <w:szCs w:val="24"/>
          <w:highlight w:val="lightGray"/>
        </w:rPr>
        <w:t>Pour les salaires, quelles références sont requises ?</w:t>
      </w:r>
    </w:p>
    <w:p w14:paraId="519F3C08" w14:textId="77777777" w:rsidR="00911F4F" w:rsidRPr="00911F4F" w:rsidRDefault="00911F4F" w:rsidP="00911F4F">
      <w:pPr>
        <w:spacing w:after="0" w:line="240" w:lineRule="auto"/>
        <w:rPr>
          <w:rFonts w:ascii="Garamond" w:hAnsi="Garamond" w:cs="Arial"/>
          <w:sz w:val="24"/>
          <w:szCs w:val="24"/>
        </w:rPr>
      </w:pPr>
    </w:p>
    <w:p w14:paraId="64CECFD4" w14:textId="77777777" w:rsidR="00911F4F" w:rsidRPr="00911F4F" w:rsidRDefault="00911F4F" w:rsidP="00911F4F">
      <w:pPr>
        <w:spacing w:after="0" w:line="240" w:lineRule="auto"/>
        <w:rPr>
          <w:rFonts w:ascii="Garamond" w:hAnsi="Garamond" w:cs="Arial"/>
          <w:sz w:val="24"/>
          <w:szCs w:val="24"/>
        </w:rPr>
      </w:pPr>
      <w:r w:rsidRPr="00911F4F">
        <w:rPr>
          <w:rFonts w:ascii="Garamond" w:hAnsi="Garamond" w:cs="Arial"/>
          <w:sz w:val="24"/>
          <w:szCs w:val="24"/>
        </w:rPr>
        <w:t>Pour chaque salarié déclaré, il convient d’indiquer clairement :</w:t>
      </w:r>
    </w:p>
    <w:p w14:paraId="6D07D872" w14:textId="77777777" w:rsidR="00911F4F" w:rsidRPr="00911F4F" w:rsidRDefault="00911F4F" w:rsidP="00911F4F">
      <w:pPr>
        <w:spacing w:after="0" w:line="240" w:lineRule="auto"/>
        <w:rPr>
          <w:rFonts w:ascii="Garamond" w:hAnsi="Garamond" w:cs="Arial"/>
          <w:sz w:val="24"/>
          <w:szCs w:val="24"/>
        </w:rPr>
      </w:pPr>
    </w:p>
    <w:p w14:paraId="610784D9" w14:textId="77777777" w:rsidR="00911F4F" w:rsidRPr="00911F4F" w:rsidRDefault="00911F4F" w:rsidP="00911F4F">
      <w:pPr>
        <w:pStyle w:val="Paragraphedeliste"/>
        <w:numPr>
          <w:ilvl w:val="0"/>
          <w:numId w:val="2"/>
        </w:numPr>
        <w:spacing w:after="0" w:line="240" w:lineRule="auto"/>
        <w:rPr>
          <w:rFonts w:ascii="Garamond" w:hAnsi="Garamond" w:cs="Arial"/>
          <w:sz w:val="24"/>
          <w:szCs w:val="24"/>
        </w:rPr>
      </w:pPr>
      <w:bookmarkStart w:id="0" w:name="_GoBack"/>
      <w:bookmarkEnd w:id="0"/>
      <w:proofErr w:type="gramStart"/>
      <w:r w:rsidRPr="00911F4F">
        <w:rPr>
          <w:rFonts w:ascii="Garamond" w:hAnsi="Garamond" w:cs="Arial"/>
          <w:sz w:val="24"/>
          <w:szCs w:val="24"/>
        </w:rPr>
        <w:t>l’identité</w:t>
      </w:r>
      <w:proofErr w:type="gramEnd"/>
      <w:r w:rsidRPr="00911F4F">
        <w:rPr>
          <w:rFonts w:ascii="Garamond" w:hAnsi="Garamond" w:cs="Arial"/>
          <w:sz w:val="24"/>
          <w:szCs w:val="24"/>
        </w:rPr>
        <w:t xml:space="preserve"> de la personne concernée ;</w:t>
      </w:r>
    </w:p>
    <w:p w14:paraId="78806759" w14:textId="77777777" w:rsidR="00911F4F" w:rsidRPr="00911F4F" w:rsidRDefault="00911F4F" w:rsidP="00911F4F">
      <w:pPr>
        <w:pStyle w:val="Paragraphedeliste"/>
        <w:numPr>
          <w:ilvl w:val="0"/>
          <w:numId w:val="2"/>
        </w:numPr>
        <w:spacing w:after="0" w:line="240" w:lineRule="auto"/>
        <w:rPr>
          <w:rFonts w:ascii="Garamond" w:hAnsi="Garamond" w:cs="Arial"/>
          <w:sz w:val="24"/>
          <w:szCs w:val="24"/>
        </w:rPr>
      </w:pPr>
      <w:proofErr w:type="gramStart"/>
      <w:r w:rsidRPr="00911F4F">
        <w:rPr>
          <w:rFonts w:ascii="Garamond" w:hAnsi="Garamond" w:cs="Arial"/>
          <w:sz w:val="24"/>
          <w:szCs w:val="24"/>
        </w:rPr>
        <w:t>la</w:t>
      </w:r>
      <w:proofErr w:type="gramEnd"/>
      <w:r w:rsidRPr="00911F4F">
        <w:rPr>
          <w:rFonts w:ascii="Garamond" w:hAnsi="Garamond" w:cs="Arial"/>
          <w:sz w:val="24"/>
          <w:szCs w:val="24"/>
        </w:rPr>
        <w:t xml:space="preserve"> fonction exercée ;</w:t>
      </w:r>
    </w:p>
    <w:p w14:paraId="7109BE76" w14:textId="77777777" w:rsidR="00911F4F" w:rsidRPr="00911F4F" w:rsidRDefault="00911F4F" w:rsidP="00911F4F">
      <w:pPr>
        <w:pStyle w:val="Paragraphedeliste"/>
        <w:numPr>
          <w:ilvl w:val="0"/>
          <w:numId w:val="2"/>
        </w:numPr>
        <w:spacing w:after="0" w:line="240" w:lineRule="auto"/>
        <w:rPr>
          <w:rFonts w:ascii="Garamond" w:hAnsi="Garamond" w:cs="Arial"/>
          <w:sz w:val="24"/>
          <w:szCs w:val="24"/>
        </w:rPr>
      </w:pPr>
      <w:proofErr w:type="gramStart"/>
      <w:r w:rsidRPr="00911F4F">
        <w:rPr>
          <w:rFonts w:ascii="Garamond" w:hAnsi="Garamond" w:cs="Arial"/>
          <w:sz w:val="24"/>
          <w:szCs w:val="24"/>
        </w:rPr>
        <w:t>la</w:t>
      </w:r>
      <w:proofErr w:type="gramEnd"/>
      <w:r w:rsidRPr="00911F4F">
        <w:rPr>
          <w:rFonts w:ascii="Garamond" w:hAnsi="Garamond" w:cs="Arial"/>
          <w:sz w:val="24"/>
          <w:szCs w:val="24"/>
        </w:rPr>
        <w:t xml:space="preserve"> période déclarée ;</w:t>
      </w:r>
    </w:p>
    <w:p w14:paraId="1DDC9BE5" w14:textId="77777777" w:rsidR="00911F4F" w:rsidRPr="00911F4F" w:rsidRDefault="00911F4F" w:rsidP="00911F4F">
      <w:pPr>
        <w:pStyle w:val="Paragraphedeliste"/>
        <w:numPr>
          <w:ilvl w:val="0"/>
          <w:numId w:val="2"/>
        </w:numPr>
        <w:spacing w:after="0" w:line="240" w:lineRule="auto"/>
        <w:rPr>
          <w:rFonts w:ascii="Garamond" w:hAnsi="Garamond" w:cs="Arial"/>
          <w:sz w:val="24"/>
          <w:szCs w:val="24"/>
        </w:rPr>
      </w:pPr>
      <w:proofErr w:type="gramStart"/>
      <w:r w:rsidRPr="00911F4F">
        <w:rPr>
          <w:rFonts w:ascii="Garamond" w:hAnsi="Garamond" w:cs="Arial"/>
          <w:sz w:val="24"/>
          <w:szCs w:val="24"/>
        </w:rPr>
        <w:t>le</w:t>
      </w:r>
      <w:proofErr w:type="gramEnd"/>
      <w:r w:rsidRPr="00911F4F">
        <w:rPr>
          <w:rFonts w:ascii="Garamond" w:hAnsi="Garamond" w:cs="Arial"/>
          <w:sz w:val="24"/>
          <w:szCs w:val="24"/>
        </w:rPr>
        <w:t xml:space="preserve"> rattachement à l’opération ;</w:t>
      </w:r>
    </w:p>
    <w:p w14:paraId="335570BE" w14:textId="77777777" w:rsidR="00911F4F" w:rsidRPr="00911F4F" w:rsidRDefault="00911F4F" w:rsidP="00911F4F">
      <w:pPr>
        <w:pStyle w:val="Paragraphedeliste"/>
        <w:numPr>
          <w:ilvl w:val="0"/>
          <w:numId w:val="2"/>
        </w:numPr>
        <w:spacing w:after="0" w:line="240" w:lineRule="auto"/>
        <w:rPr>
          <w:rFonts w:ascii="Garamond" w:hAnsi="Garamond" w:cs="Arial"/>
          <w:sz w:val="24"/>
          <w:szCs w:val="24"/>
        </w:rPr>
      </w:pPr>
      <w:proofErr w:type="gramStart"/>
      <w:r w:rsidRPr="00911F4F">
        <w:rPr>
          <w:rFonts w:ascii="Garamond" w:hAnsi="Garamond" w:cs="Arial"/>
          <w:sz w:val="24"/>
          <w:szCs w:val="24"/>
        </w:rPr>
        <w:t>l’action</w:t>
      </w:r>
      <w:proofErr w:type="gramEnd"/>
      <w:r w:rsidRPr="00911F4F">
        <w:rPr>
          <w:rFonts w:ascii="Garamond" w:hAnsi="Garamond" w:cs="Arial"/>
          <w:sz w:val="24"/>
          <w:szCs w:val="24"/>
        </w:rPr>
        <w:t xml:space="preserve">, le lot ou le </w:t>
      </w:r>
      <w:proofErr w:type="spellStart"/>
      <w:r w:rsidRPr="00911F4F">
        <w:rPr>
          <w:rFonts w:ascii="Garamond" w:hAnsi="Garamond" w:cs="Arial"/>
          <w:sz w:val="24"/>
          <w:szCs w:val="24"/>
        </w:rPr>
        <w:t>work</w:t>
      </w:r>
      <w:proofErr w:type="spellEnd"/>
      <w:r w:rsidRPr="00911F4F">
        <w:rPr>
          <w:rFonts w:ascii="Garamond" w:hAnsi="Garamond" w:cs="Arial"/>
          <w:sz w:val="24"/>
          <w:szCs w:val="24"/>
        </w:rPr>
        <w:t xml:space="preserve"> package concerné, le cas échéant ;</w:t>
      </w:r>
    </w:p>
    <w:p w14:paraId="6FD2E69D" w14:textId="77777777" w:rsidR="00911F4F" w:rsidRPr="00911F4F" w:rsidRDefault="00911F4F" w:rsidP="00911F4F">
      <w:pPr>
        <w:pStyle w:val="Paragraphedeliste"/>
        <w:numPr>
          <w:ilvl w:val="0"/>
          <w:numId w:val="2"/>
        </w:numPr>
        <w:spacing w:after="0" w:line="240" w:lineRule="auto"/>
        <w:rPr>
          <w:rFonts w:ascii="Garamond" w:hAnsi="Garamond" w:cs="Arial"/>
          <w:sz w:val="24"/>
          <w:szCs w:val="24"/>
        </w:rPr>
      </w:pPr>
      <w:proofErr w:type="gramStart"/>
      <w:r w:rsidRPr="00911F4F">
        <w:rPr>
          <w:rFonts w:ascii="Garamond" w:hAnsi="Garamond" w:cs="Arial"/>
          <w:sz w:val="24"/>
          <w:szCs w:val="24"/>
        </w:rPr>
        <w:t>le</w:t>
      </w:r>
      <w:proofErr w:type="gramEnd"/>
      <w:r w:rsidRPr="00911F4F">
        <w:rPr>
          <w:rFonts w:ascii="Garamond" w:hAnsi="Garamond" w:cs="Arial"/>
          <w:sz w:val="24"/>
          <w:szCs w:val="24"/>
        </w:rPr>
        <w:t xml:space="preserve"> taux d’affectation au projet ;</w:t>
      </w:r>
    </w:p>
    <w:p w14:paraId="08E5FAB7" w14:textId="77777777" w:rsidR="00911F4F" w:rsidRPr="00911F4F" w:rsidRDefault="00911F4F" w:rsidP="00911F4F">
      <w:pPr>
        <w:pStyle w:val="Paragraphedeliste"/>
        <w:numPr>
          <w:ilvl w:val="0"/>
          <w:numId w:val="2"/>
        </w:numPr>
        <w:spacing w:after="0" w:line="240" w:lineRule="auto"/>
        <w:rPr>
          <w:rFonts w:ascii="Garamond" w:hAnsi="Garamond" w:cs="Arial"/>
          <w:sz w:val="24"/>
          <w:szCs w:val="24"/>
        </w:rPr>
      </w:pPr>
      <w:proofErr w:type="gramStart"/>
      <w:r w:rsidRPr="00911F4F">
        <w:rPr>
          <w:rFonts w:ascii="Garamond" w:hAnsi="Garamond" w:cs="Arial"/>
          <w:sz w:val="24"/>
          <w:szCs w:val="24"/>
        </w:rPr>
        <w:t>le</w:t>
      </w:r>
      <w:proofErr w:type="gramEnd"/>
      <w:r w:rsidRPr="00911F4F">
        <w:rPr>
          <w:rFonts w:ascii="Garamond" w:hAnsi="Garamond" w:cs="Arial"/>
          <w:sz w:val="24"/>
          <w:szCs w:val="24"/>
        </w:rPr>
        <w:t xml:space="preserve"> montant déclaré ;</w:t>
      </w:r>
    </w:p>
    <w:p w14:paraId="79D004AF" w14:textId="77777777" w:rsidR="00911F4F" w:rsidRPr="00911F4F" w:rsidRDefault="00911F4F" w:rsidP="00911F4F">
      <w:pPr>
        <w:pStyle w:val="Paragraphedeliste"/>
        <w:numPr>
          <w:ilvl w:val="0"/>
          <w:numId w:val="2"/>
        </w:numPr>
        <w:spacing w:after="0" w:line="240" w:lineRule="auto"/>
        <w:rPr>
          <w:rFonts w:ascii="Garamond" w:hAnsi="Garamond" w:cs="Arial"/>
          <w:sz w:val="24"/>
          <w:szCs w:val="24"/>
        </w:rPr>
      </w:pPr>
      <w:proofErr w:type="gramStart"/>
      <w:r w:rsidRPr="00911F4F">
        <w:rPr>
          <w:rFonts w:ascii="Garamond" w:hAnsi="Garamond" w:cs="Arial"/>
          <w:sz w:val="24"/>
          <w:szCs w:val="24"/>
        </w:rPr>
        <w:t>les</w:t>
      </w:r>
      <w:proofErr w:type="gramEnd"/>
      <w:r w:rsidRPr="00911F4F">
        <w:rPr>
          <w:rFonts w:ascii="Garamond" w:hAnsi="Garamond" w:cs="Arial"/>
          <w:sz w:val="24"/>
          <w:szCs w:val="24"/>
        </w:rPr>
        <w:t xml:space="preserve"> charges retenues ;</w:t>
      </w:r>
    </w:p>
    <w:p w14:paraId="3C50B558" w14:textId="77777777" w:rsidR="00911F4F" w:rsidRPr="00911F4F" w:rsidRDefault="00911F4F" w:rsidP="00911F4F">
      <w:pPr>
        <w:pStyle w:val="Paragraphedeliste"/>
        <w:numPr>
          <w:ilvl w:val="0"/>
          <w:numId w:val="2"/>
        </w:numPr>
        <w:spacing w:after="0" w:line="240" w:lineRule="auto"/>
        <w:rPr>
          <w:rFonts w:ascii="Garamond" w:hAnsi="Garamond" w:cs="Arial"/>
          <w:sz w:val="24"/>
          <w:szCs w:val="24"/>
        </w:rPr>
      </w:pPr>
      <w:proofErr w:type="gramStart"/>
      <w:r w:rsidRPr="00911F4F">
        <w:rPr>
          <w:rFonts w:ascii="Garamond" w:hAnsi="Garamond" w:cs="Arial"/>
          <w:sz w:val="24"/>
          <w:szCs w:val="24"/>
        </w:rPr>
        <w:t>la</w:t>
      </w:r>
      <w:proofErr w:type="gramEnd"/>
      <w:r w:rsidRPr="00911F4F">
        <w:rPr>
          <w:rFonts w:ascii="Garamond" w:hAnsi="Garamond" w:cs="Arial"/>
          <w:sz w:val="24"/>
          <w:szCs w:val="24"/>
        </w:rPr>
        <w:t xml:space="preserve"> méthode de calcul utilisée.</w:t>
      </w:r>
    </w:p>
    <w:p w14:paraId="7F49CFE6" w14:textId="77777777" w:rsidR="00911F4F" w:rsidRDefault="00911F4F" w:rsidP="00911F4F">
      <w:pPr>
        <w:spacing w:after="0" w:line="240" w:lineRule="auto"/>
        <w:rPr>
          <w:rFonts w:ascii="Garamond" w:hAnsi="Garamond" w:cs="Arial"/>
          <w:sz w:val="24"/>
          <w:szCs w:val="24"/>
        </w:rPr>
      </w:pPr>
    </w:p>
    <w:p w14:paraId="4DB9B014"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Les pièces justificatives attendues peuvent notamment comprendre le contrat de travail, la fiche de poste ou lettre de mission, les bulletins de salaire, le journal de paie ou document équivalent, les preuves d’acquittement et les feuilles de temps lorsque l’affectation n’est pas forfaitaire ou permanente.</w:t>
      </w:r>
    </w:p>
    <w:p w14:paraId="67A4BD1D" w14:textId="77777777" w:rsidR="00911F4F" w:rsidRPr="00911F4F" w:rsidRDefault="00911F4F" w:rsidP="00911F4F">
      <w:pPr>
        <w:spacing w:after="0" w:line="240" w:lineRule="auto"/>
        <w:rPr>
          <w:rFonts w:ascii="Garamond" w:hAnsi="Garamond" w:cs="Arial"/>
          <w:sz w:val="24"/>
          <w:szCs w:val="24"/>
        </w:rPr>
      </w:pPr>
    </w:p>
    <w:p w14:paraId="35F7F72C" w14:textId="77777777" w:rsidR="00911F4F" w:rsidRPr="00911F4F" w:rsidRDefault="00911F4F" w:rsidP="00911F4F">
      <w:pPr>
        <w:pStyle w:val="Paragraphedeliste"/>
        <w:numPr>
          <w:ilvl w:val="0"/>
          <w:numId w:val="1"/>
        </w:numPr>
        <w:spacing w:after="0" w:line="240" w:lineRule="auto"/>
        <w:rPr>
          <w:rFonts w:ascii="Garamond" w:hAnsi="Garamond" w:cs="Arial"/>
          <w:b/>
          <w:sz w:val="24"/>
          <w:szCs w:val="24"/>
          <w:highlight w:val="lightGray"/>
        </w:rPr>
      </w:pPr>
      <w:r w:rsidRPr="00911F4F">
        <w:rPr>
          <w:rFonts w:ascii="Garamond" w:hAnsi="Garamond" w:cs="Arial"/>
          <w:b/>
          <w:sz w:val="24"/>
          <w:szCs w:val="24"/>
          <w:highlight w:val="lightGray"/>
        </w:rPr>
        <w:t>Est-il possible de faire une remontée annuelle par personne ?</w:t>
      </w:r>
    </w:p>
    <w:p w14:paraId="04D23392" w14:textId="77777777" w:rsidR="00911F4F" w:rsidRPr="00911F4F" w:rsidRDefault="00911F4F" w:rsidP="00911F4F">
      <w:pPr>
        <w:spacing w:after="0" w:line="240" w:lineRule="auto"/>
        <w:rPr>
          <w:rFonts w:ascii="Garamond" w:hAnsi="Garamond" w:cs="Arial"/>
          <w:sz w:val="24"/>
          <w:szCs w:val="24"/>
        </w:rPr>
      </w:pPr>
    </w:p>
    <w:p w14:paraId="0F1120B0"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Oui, une remontée annuelle par personne peut être envisagée si elle permet un contrôle clair et fiable.</w:t>
      </w:r>
      <w:r>
        <w:rPr>
          <w:rFonts w:ascii="Garamond" w:hAnsi="Garamond" w:cs="Arial"/>
          <w:sz w:val="24"/>
          <w:szCs w:val="24"/>
        </w:rPr>
        <w:t xml:space="preserve"> </w:t>
      </w:r>
      <w:r w:rsidRPr="00911F4F">
        <w:rPr>
          <w:rFonts w:ascii="Garamond" w:hAnsi="Garamond" w:cs="Arial"/>
          <w:sz w:val="24"/>
          <w:szCs w:val="24"/>
        </w:rPr>
        <w:t>Elle doit toutefois permettre de reconstituer le détail des dépenses par salarié, par période, par action ou par poste budgétaire lorsque cela est nécessaire.</w:t>
      </w:r>
    </w:p>
    <w:p w14:paraId="1F1FBFB4" w14:textId="77777777" w:rsidR="00911F4F" w:rsidRPr="00911F4F" w:rsidRDefault="00911F4F" w:rsidP="00911F4F">
      <w:pPr>
        <w:spacing w:after="0" w:line="240" w:lineRule="auto"/>
        <w:jc w:val="both"/>
        <w:rPr>
          <w:rFonts w:ascii="Garamond" w:hAnsi="Garamond" w:cs="Arial"/>
          <w:sz w:val="24"/>
          <w:szCs w:val="24"/>
        </w:rPr>
      </w:pPr>
    </w:p>
    <w:p w14:paraId="200A25F9"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Le bénéficiaire doit donc veiller à ce que la présentation annuelle ne nuise pas à la lisibilité du contrôle. Les montants doivent pouvoir être vérifiés et rapprochés des bulletins de salaire, du journal de paie, des preuves d’acquittement et des temps déclarés.</w:t>
      </w:r>
    </w:p>
    <w:p w14:paraId="405F832B" w14:textId="77777777" w:rsidR="00911F4F" w:rsidRPr="00911F4F" w:rsidRDefault="00911F4F" w:rsidP="00911F4F">
      <w:pPr>
        <w:spacing w:after="0" w:line="240" w:lineRule="auto"/>
        <w:rPr>
          <w:rFonts w:ascii="Garamond" w:hAnsi="Garamond" w:cs="Arial"/>
          <w:sz w:val="24"/>
          <w:szCs w:val="24"/>
        </w:rPr>
      </w:pPr>
    </w:p>
    <w:p w14:paraId="2B37EDED" w14:textId="77777777" w:rsidR="00911F4F" w:rsidRPr="00911F4F" w:rsidRDefault="00911F4F" w:rsidP="00911F4F">
      <w:pPr>
        <w:pStyle w:val="Paragraphedeliste"/>
        <w:numPr>
          <w:ilvl w:val="0"/>
          <w:numId w:val="1"/>
        </w:numPr>
        <w:spacing w:after="0" w:line="240" w:lineRule="auto"/>
        <w:rPr>
          <w:rFonts w:ascii="Garamond" w:hAnsi="Garamond" w:cs="Arial"/>
          <w:b/>
          <w:sz w:val="24"/>
          <w:szCs w:val="24"/>
          <w:highlight w:val="lightGray"/>
        </w:rPr>
      </w:pPr>
      <w:r w:rsidRPr="00911F4F">
        <w:rPr>
          <w:rFonts w:ascii="Garamond" w:hAnsi="Garamond" w:cs="Arial"/>
          <w:b/>
          <w:sz w:val="24"/>
          <w:szCs w:val="24"/>
          <w:highlight w:val="lightGray"/>
        </w:rPr>
        <w:t>Même pour les salaires ?</w:t>
      </w:r>
    </w:p>
    <w:p w14:paraId="1BAF66C1" w14:textId="77777777" w:rsidR="00911F4F" w:rsidRPr="00911F4F" w:rsidRDefault="00911F4F" w:rsidP="00911F4F">
      <w:pPr>
        <w:spacing w:after="0" w:line="240" w:lineRule="auto"/>
        <w:rPr>
          <w:rFonts w:ascii="Garamond" w:hAnsi="Garamond" w:cs="Arial"/>
          <w:sz w:val="24"/>
          <w:szCs w:val="24"/>
        </w:rPr>
      </w:pPr>
    </w:p>
    <w:p w14:paraId="3305C2CB"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Oui, mais avec une vigilance particulière.</w:t>
      </w:r>
      <w:r>
        <w:rPr>
          <w:rFonts w:ascii="Garamond" w:hAnsi="Garamond" w:cs="Arial"/>
          <w:sz w:val="24"/>
          <w:szCs w:val="24"/>
        </w:rPr>
        <w:t xml:space="preserve"> </w:t>
      </w:r>
      <w:r w:rsidRPr="00911F4F">
        <w:rPr>
          <w:rFonts w:ascii="Garamond" w:hAnsi="Garamond" w:cs="Arial"/>
          <w:sz w:val="24"/>
          <w:szCs w:val="24"/>
        </w:rPr>
        <w:t>Une présentation annuelle des dépenses de salaire est possible si elle reste suffisamment détaillée. Le contrôle doit pouvoir vérifier les montants mois par mois, les périodes effectivement travaillées, les éventuelles absences, le taux d’affectation au projet et la méthode de calcul retenue.</w:t>
      </w:r>
    </w:p>
    <w:p w14:paraId="7F0EC6ED" w14:textId="77777777" w:rsidR="00911F4F" w:rsidRPr="00911F4F" w:rsidRDefault="00911F4F" w:rsidP="00911F4F">
      <w:pPr>
        <w:spacing w:after="0" w:line="240" w:lineRule="auto"/>
        <w:rPr>
          <w:rFonts w:ascii="Garamond" w:hAnsi="Garamond" w:cs="Arial"/>
          <w:sz w:val="24"/>
          <w:szCs w:val="24"/>
        </w:rPr>
      </w:pPr>
    </w:p>
    <w:p w14:paraId="74F2627D"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Lorsque le temps de travail consacré au projet varie d’un mois à l’autre, les feuilles de temps ou états de temps doivent permettre de justifier précisément les montants déclarés.</w:t>
      </w:r>
    </w:p>
    <w:p w14:paraId="11B940EF" w14:textId="77777777" w:rsidR="00911F4F" w:rsidRPr="00911F4F" w:rsidRDefault="00911F4F" w:rsidP="00911F4F">
      <w:pPr>
        <w:spacing w:after="0" w:line="240" w:lineRule="auto"/>
        <w:rPr>
          <w:rFonts w:ascii="Garamond" w:hAnsi="Garamond" w:cs="Arial"/>
          <w:sz w:val="24"/>
          <w:szCs w:val="24"/>
        </w:rPr>
      </w:pPr>
    </w:p>
    <w:p w14:paraId="0AFCDD7B" w14:textId="77777777" w:rsidR="00911F4F" w:rsidRPr="00911F4F" w:rsidRDefault="00911F4F" w:rsidP="00911F4F">
      <w:pPr>
        <w:spacing w:after="0" w:line="240" w:lineRule="auto"/>
        <w:rPr>
          <w:rFonts w:ascii="Garamond" w:hAnsi="Garamond" w:cs="Arial"/>
          <w:sz w:val="24"/>
          <w:szCs w:val="24"/>
        </w:rPr>
      </w:pPr>
    </w:p>
    <w:p w14:paraId="21C96431" w14:textId="77777777" w:rsidR="00911F4F" w:rsidRPr="00911F4F" w:rsidRDefault="00911F4F" w:rsidP="00911F4F">
      <w:pPr>
        <w:spacing w:after="0" w:line="240" w:lineRule="auto"/>
        <w:rPr>
          <w:rFonts w:ascii="Garamond" w:hAnsi="Garamond" w:cs="Arial"/>
          <w:sz w:val="24"/>
          <w:szCs w:val="24"/>
        </w:rPr>
      </w:pPr>
    </w:p>
    <w:p w14:paraId="46158198" w14:textId="77777777" w:rsidR="00911F4F" w:rsidRPr="00911F4F" w:rsidRDefault="00911F4F" w:rsidP="00911F4F">
      <w:pPr>
        <w:pStyle w:val="Paragraphedeliste"/>
        <w:numPr>
          <w:ilvl w:val="0"/>
          <w:numId w:val="1"/>
        </w:numPr>
        <w:spacing w:after="0" w:line="240" w:lineRule="auto"/>
        <w:rPr>
          <w:rFonts w:ascii="Garamond" w:hAnsi="Garamond" w:cs="Arial"/>
          <w:b/>
          <w:sz w:val="24"/>
          <w:szCs w:val="24"/>
          <w:highlight w:val="lightGray"/>
        </w:rPr>
      </w:pPr>
      <w:r w:rsidRPr="00911F4F">
        <w:rPr>
          <w:rFonts w:ascii="Garamond" w:hAnsi="Garamond" w:cs="Arial"/>
          <w:b/>
          <w:sz w:val="24"/>
          <w:szCs w:val="24"/>
          <w:highlight w:val="lightGray"/>
        </w:rPr>
        <w:t>Peut-on faire directement une demande de solde sans paiement d’acompte ?</w:t>
      </w:r>
    </w:p>
    <w:p w14:paraId="42197D3C" w14:textId="77777777" w:rsidR="00911F4F" w:rsidRPr="00911F4F" w:rsidRDefault="00911F4F" w:rsidP="00911F4F">
      <w:pPr>
        <w:spacing w:after="0" w:line="240" w:lineRule="auto"/>
        <w:rPr>
          <w:rFonts w:ascii="Garamond" w:hAnsi="Garamond" w:cs="Arial"/>
          <w:sz w:val="24"/>
          <w:szCs w:val="24"/>
        </w:rPr>
      </w:pPr>
    </w:p>
    <w:p w14:paraId="66E6388B" w14:textId="77777777" w:rsidR="00911F4F" w:rsidRPr="00911F4F" w:rsidRDefault="00911F4F" w:rsidP="00911F4F">
      <w:pPr>
        <w:spacing w:after="0" w:line="240" w:lineRule="auto"/>
        <w:rPr>
          <w:rFonts w:ascii="Garamond" w:hAnsi="Garamond" w:cs="Arial"/>
          <w:sz w:val="24"/>
          <w:szCs w:val="24"/>
        </w:rPr>
      </w:pPr>
      <w:r w:rsidRPr="00911F4F">
        <w:rPr>
          <w:rFonts w:ascii="Garamond" w:hAnsi="Garamond" w:cs="Arial"/>
          <w:sz w:val="24"/>
          <w:szCs w:val="24"/>
        </w:rPr>
        <w:t>Oui, il est possible de déposer directement une demande de solde, à condition que l’opération soit achevée.</w:t>
      </w:r>
    </w:p>
    <w:p w14:paraId="29140CDB" w14:textId="77777777" w:rsidR="00911F4F" w:rsidRPr="00911F4F" w:rsidRDefault="00911F4F" w:rsidP="00911F4F">
      <w:pPr>
        <w:spacing w:after="0" w:line="240" w:lineRule="auto"/>
        <w:rPr>
          <w:rFonts w:ascii="Garamond" w:hAnsi="Garamond" w:cs="Arial"/>
          <w:sz w:val="24"/>
          <w:szCs w:val="24"/>
        </w:rPr>
      </w:pPr>
    </w:p>
    <w:p w14:paraId="013DF7AB" w14:textId="77777777" w:rsidR="00911F4F" w:rsidRPr="00911F4F" w:rsidRDefault="00911F4F" w:rsidP="00911F4F">
      <w:pPr>
        <w:spacing w:after="0" w:line="240" w:lineRule="auto"/>
        <w:rPr>
          <w:rFonts w:ascii="Garamond" w:hAnsi="Garamond" w:cs="Arial"/>
          <w:sz w:val="24"/>
          <w:szCs w:val="24"/>
        </w:rPr>
      </w:pPr>
      <w:r w:rsidRPr="00911F4F">
        <w:rPr>
          <w:rFonts w:ascii="Garamond" w:hAnsi="Garamond" w:cs="Arial"/>
          <w:sz w:val="24"/>
          <w:szCs w:val="24"/>
        </w:rPr>
        <w:t>La demande de solde correspond à la dernière demande de paiement. Elle doit donc présenter l’ensemble des dépenses finales, des ressources, des livrables, des indicateurs et des éléments de bilan de l’opération.</w:t>
      </w:r>
    </w:p>
    <w:p w14:paraId="415300E3" w14:textId="77777777" w:rsidR="00911F4F" w:rsidRPr="00911F4F" w:rsidRDefault="00911F4F" w:rsidP="00911F4F">
      <w:pPr>
        <w:spacing w:after="0" w:line="240" w:lineRule="auto"/>
        <w:rPr>
          <w:rFonts w:ascii="Garamond" w:hAnsi="Garamond" w:cs="Arial"/>
          <w:sz w:val="24"/>
          <w:szCs w:val="24"/>
        </w:rPr>
      </w:pPr>
    </w:p>
    <w:p w14:paraId="2855CCEC" w14:textId="77777777" w:rsidR="00911F4F" w:rsidRPr="00911F4F" w:rsidRDefault="00911F4F" w:rsidP="00911F4F">
      <w:pPr>
        <w:spacing w:after="0" w:line="240" w:lineRule="auto"/>
        <w:rPr>
          <w:rFonts w:ascii="Garamond" w:hAnsi="Garamond" w:cs="Arial"/>
          <w:sz w:val="24"/>
          <w:szCs w:val="24"/>
        </w:rPr>
      </w:pPr>
      <w:r w:rsidRPr="00911F4F">
        <w:rPr>
          <w:rFonts w:ascii="Garamond" w:hAnsi="Garamond" w:cs="Arial"/>
          <w:sz w:val="24"/>
          <w:szCs w:val="24"/>
        </w:rPr>
        <w:t>Il ne faut pas déposer une demande de solde si l’opération n’est pas terminée ou si d’autres dépenses doivent encore être présentées. Dans ce cas, il convient de déposer une demande d’acompte.</w:t>
      </w:r>
    </w:p>
    <w:p w14:paraId="7EA35179" w14:textId="77777777" w:rsidR="00911F4F" w:rsidRPr="00911F4F" w:rsidRDefault="00911F4F" w:rsidP="00911F4F">
      <w:pPr>
        <w:spacing w:after="0" w:line="240" w:lineRule="auto"/>
        <w:rPr>
          <w:rFonts w:ascii="Garamond" w:hAnsi="Garamond" w:cs="Arial"/>
          <w:sz w:val="24"/>
          <w:szCs w:val="24"/>
        </w:rPr>
      </w:pPr>
    </w:p>
    <w:p w14:paraId="5A7983B2" w14:textId="77777777" w:rsidR="00911F4F" w:rsidRPr="00911F4F" w:rsidRDefault="00911F4F" w:rsidP="00911F4F">
      <w:pPr>
        <w:pStyle w:val="Paragraphedeliste"/>
        <w:numPr>
          <w:ilvl w:val="0"/>
          <w:numId w:val="1"/>
        </w:numPr>
        <w:spacing w:after="0" w:line="240" w:lineRule="auto"/>
        <w:rPr>
          <w:rFonts w:ascii="Garamond" w:hAnsi="Garamond" w:cs="Arial"/>
          <w:b/>
          <w:sz w:val="24"/>
          <w:szCs w:val="24"/>
          <w:highlight w:val="lightGray"/>
        </w:rPr>
      </w:pPr>
      <w:r w:rsidRPr="00911F4F">
        <w:rPr>
          <w:rFonts w:ascii="Garamond" w:hAnsi="Garamond" w:cs="Arial"/>
          <w:b/>
          <w:sz w:val="24"/>
          <w:szCs w:val="24"/>
          <w:highlight w:val="lightGray"/>
        </w:rPr>
        <w:t>Doit-on joindre les devis ?</w:t>
      </w:r>
    </w:p>
    <w:p w14:paraId="02BE1D82" w14:textId="77777777" w:rsidR="00911F4F" w:rsidRPr="00911F4F" w:rsidRDefault="00911F4F" w:rsidP="00911F4F">
      <w:pPr>
        <w:spacing w:after="0" w:line="240" w:lineRule="auto"/>
        <w:rPr>
          <w:rFonts w:ascii="Garamond" w:hAnsi="Garamond" w:cs="Arial"/>
          <w:sz w:val="24"/>
          <w:szCs w:val="24"/>
        </w:rPr>
      </w:pPr>
    </w:p>
    <w:p w14:paraId="527EAF89"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Oui, lorsque les devis existent ou lorsqu’ils ont servi à établir la dépense, à justifier le choix du fournisseur, à démontrer une mise en concurrence ou à rattacher la dépense au projet.</w:t>
      </w:r>
    </w:p>
    <w:p w14:paraId="6120F429" w14:textId="77777777" w:rsidR="00911F4F" w:rsidRPr="00911F4F" w:rsidRDefault="00911F4F" w:rsidP="00911F4F">
      <w:pPr>
        <w:spacing w:after="0" w:line="240" w:lineRule="auto"/>
        <w:jc w:val="both"/>
        <w:rPr>
          <w:rFonts w:ascii="Garamond" w:hAnsi="Garamond" w:cs="Arial"/>
          <w:sz w:val="24"/>
          <w:szCs w:val="24"/>
        </w:rPr>
      </w:pPr>
    </w:p>
    <w:p w14:paraId="4843AE1F"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La facture justifie le montant facturé, mais le devis, le bon de commande, le contrat ou le marché permettent souvent de comprendre la nature de la dépense, le prix initialement retenu et la procédure suivie.</w:t>
      </w:r>
      <w:r>
        <w:rPr>
          <w:rFonts w:ascii="Garamond" w:hAnsi="Garamond" w:cs="Arial"/>
          <w:sz w:val="24"/>
          <w:szCs w:val="24"/>
        </w:rPr>
        <w:t xml:space="preserve"> </w:t>
      </w:r>
      <w:r w:rsidRPr="00911F4F">
        <w:rPr>
          <w:rFonts w:ascii="Garamond" w:hAnsi="Garamond" w:cs="Arial"/>
          <w:sz w:val="24"/>
          <w:szCs w:val="24"/>
        </w:rPr>
        <w:t>Ces éléments participent à la sécurisation de la piste d’audit.</w:t>
      </w:r>
    </w:p>
    <w:p w14:paraId="677BC44F" w14:textId="77777777" w:rsidR="00911F4F" w:rsidRPr="00911F4F" w:rsidRDefault="00911F4F" w:rsidP="00911F4F">
      <w:pPr>
        <w:spacing w:after="0" w:line="240" w:lineRule="auto"/>
        <w:rPr>
          <w:rFonts w:ascii="Garamond" w:hAnsi="Garamond" w:cs="Arial"/>
          <w:sz w:val="24"/>
          <w:szCs w:val="24"/>
        </w:rPr>
      </w:pPr>
    </w:p>
    <w:p w14:paraId="1226FDDE" w14:textId="77777777" w:rsidR="00911F4F" w:rsidRPr="00911F4F" w:rsidRDefault="00911F4F" w:rsidP="00911F4F">
      <w:pPr>
        <w:pStyle w:val="Paragraphedeliste"/>
        <w:numPr>
          <w:ilvl w:val="0"/>
          <w:numId w:val="1"/>
        </w:numPr>
        <w:spacing w:after="0" w:line="240" w:lineRule="auto"/>
        <w:jc w:val="both"/>
        <w:rPr>
          <w:rFonts w:ascii="Garamond" w:hAnsi="Garamond" w:cs="Arial"/>
          <w:b/>
          <w:sz w:val="24"/>
          <w:szCs w:val="24"/>
          <w:highlight w:val="lightGray"/>
        </w:rPr>
      </w:pPr>
      <w:r w:rsidRPr="00911F4F">
        <w:rPr>
          <w:rFonts w:ascii="Garamond" w:hAnsi="Garamond" w:cs="Arial"/>
          <w:b/>
          <w:sz w:val="24"/>
          <w:szCs w:val="24"/>
          <w:highlight w:val="lightGray"/>
        </w:rPr>
        <w:t>Si l’on justifie 100 % du montant des dépenses prises en charge par le porteur de projet dans la maquette financière, mais pas 100 % des dépenses totales, faut-il passer par une demande d’acompte et non par une demande de solde ?</w:t>
      </w:r>
    </w:p>
    <w:p w14:paraId="7CE5E817" w14:textId="77777777" w:rsidR="00911F4F" w:rsidRPr="00911F4F" w:rsidRDefault="00911F4F" w:rsidP="00911F4F">
      <w:pPr>
        <w:spacing w:after="0" w:line="240" w:lineRule="auto"/>
        <w:rPr>
          <w:rFonts w:ascii="Garamond" w:hAnsi="Garamond" w:cs="Arial"/>
          <w:sz w:val="24"/>
          <w:szCs w:val="24"/>
        </w:rPr>
      </w:pPr>
    </w:p>
    <w:p w14:paraId="1B05AE46"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Oui.</w:t>
      </w:r>
      <w:r>
        <w:rPr>
          <w:rFonts w:ascii="Garamond" w:hAnsi="Garamond" w:cs="Arial"/>
          <w:sz w:val="24"/>
          <w:szCs w:val="24"/>
        </w:rPr>
        <w:t xml:space="preserve"> </w:t>
      </w:r>
      <w:r w:rsidRPr="00911F4F">
        <w:rPr>
          <w:rFonts w:ascii="Garamond" w:hAnsi="Garamond" w:cs="Arial"/>
          <w:sz w:val="24"/>
          <w:szCs w:val="24"/>
        </w:rPr>
        <w:t>Le solde doit correspondre à la fin de l’opération et à la présentation de l’ensemble des dépenses et ressources finales.</w:t>
      </w:r>
    </w:p>
    <w:p w14:paraId="43FB66E8" w14:textId="77777777" w:rsidR="00911F4F" w:rsidRPr="00911F4F" w:rsidRDefault="00911F4F" w:rsidP="00911F4F">
      <w:pPr>
        <w:spacing w:after="0" w:line="240" w:lineRule="auto"/>
        <w:jc w:val="both"/>
        <w:rPr>
          <w:rFonts w:ascii="Garamond" w:hAnsi="Garamond" w:cs="Arial"/>
          <w:sz w:val="24"/>
          <w:szCs w:val="24"/>
        </w:rPr>
      </w:pPr>
    </w:p>
    <w:p w14:paraId="1EA7A3F5" w14:textId="77777777" w:rsid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Si seules certaines dépenses sont présentées, même si elles couvrent la part financée par le bénéficiaire dans la maquette, il convient de déposer une demande d’acompte.</w:t>
      </w:r>
      <w:r>
        <w:rPr>
          <w:rFonts w:ascii="Garamond" w:hAnsi="Garamond" w:cs="Arial"/>
          <w:sz w:val="24"/>
          <w:szCs w:val="24"/>
        </w:rPr>
        <w:t xml:space="preserve"> </w:t>
      </w:r>
      <w:r w:rsidRPr="00911F4F">
        <w:rPr>
          <w:rFonts w:ascii="Garamond" w:hAnsi="Garamond" w:cs="Arial"/>
          <w:sz w:val="24"/>
          <w:szCs w:val="24"/>
        </w:rPr>
        <w:t>La demande de solde ne doit intervenir que lorsque l’opération est totalement réalisée et que le plan de financement final est stabilisé.</w:t>
      </w:r>
    </w:p>
    <w:p w14:paraId="2049A108" w14:textId="77777777" w:rsidR="00911F4F" w:rsidRDefault="00911F4F" w:rsidP="00911F4F">
      <w:pPr>
        <w:spacing w:after="0" w:line="240" w:lineRule="auto"/>
        <w:jc w:val="both"/>
        <w:rPr>
          <w:rFonts w:ascii="Garamond" w:hAnsi="Garamond" w:cs="Arial"/>
          <w:sz w:val="24"/>
          <w:szCs w:val="24"/>
        </w:rPr>
      </w:pPr>
    </w:p>
    <w:p w14:paraId="43B37E22" w14:textId="77777777" w:rsidR="00911F4F" w:rsidRPr="00911F4F" w:rsidRDefault="00911F4F" w:rsidP="00911F4F">
      <w:pPr>
        <w:pStyle w:val="Paragraphedeliste"/>
        <w:numPr>
          <w:ilvl w:val="0"/>
          <w:numId w:val="1"/>
        </w:numPr>
        <w:spacing w:after="0" w:line="240" w:lineRule="auto"/>
        <w:jc w:val="both"/>
        <w:rPr>
          <w:rFonts w:ascii="Garamond" w:hAnsi="Garamond" w:cs="Arial"/>
          <w:b/>
          <w:sz w:val="24"/>
          <w:szCs w:val="24"/>
          <w:highlight w:val="lightGray"/>
        </w:rPr>
      </w:pPr>
      <w:r w:rsidRPr="00911F4F">
        <w:rPr>
          <w:rFonts w:ascii="Garamond" w:hAnsi="Garamond" w:cs="Arial"/>
          <w:b/>
          <w:sz w:val="24"/>
          <w:szCs w:val="24"/>
          <w:highlight w:val="lightGray"/>
        </w:rPr>
        <w:t>Sur la DDP2, peut-on présenter une dépense qui concerne la période d’exécution de la DDP</w:t>
      </w:r>
      <w:r>
        <w:rPr>
          <w:rFonts w:ascii="Garamond" w:hAnsi="Garamond" w:cs="Arial"/>
          <w:b/>
          <w:sz w:val="24"/>
          <w:szCs w:val="24"/>
          <w:highlight w:val="lightGray"/>
        </w:rPr>
        <w:t>1</w:t>
      </w:r>
      <w:r w:rsidRPr="00911F4F">
        <w:rPr>
          <w:rFonts w:ascii="Garamond" w:hAnsi="Garamond" w:cs="Arial"/>
          <w:b/>
          <w:sz w:val="24"/>
          <w:szCs w:val="24"/>
          <w:highlight w:val="lightGray"/>
        </w:rPr>
        <w:t xml:space="preserve"> précédente ?</w:t>
      </w:r>
    </w:p>
    <w:p w14:paraId="57FAAA1A" w14:textId="77777777" w:rsidR="00911F4F" w:rsidRPr="00911F4F" w:rsidRDefault="00911F4F" w:rsidP="00911F4F">
      <w:pPr>
        <w:spacing w:after="0" w:line="240" w:lineRule="auto"/>
        <w:rPr>
          <w:rFonts w:ascii="Garamond" w:hAnsi="Garamond" w:cs="Arial"/>
          <w:sz w:val="24"/>
          <w:szCs w:val="24"/>
        </w:rPr>
      </w:pPr>
    </w:p>
    <w:p w14:paraId="465C99C9"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Oui, sous réserve que la dépense n’ait pas déjà été déclarée, payée ou rejetée comme inéligible.</w:t>
      </w:r>
    </w:p>
    <w:p w14:paraId="698494E6" w14:textId="77777777" w:rsidR="00911F4F" w:rsidRPr="00911F4F" w:rsidRDefault="00911F4F" w:rsidP="00911F4F">
      <w:pPr>
        <w:spacing w:after="0" w:line="240" w:lineRule="auto"/>
        <w:jc w:val="both"/>
        <w:rPr>
          <w:rFonts w:ascii="Garamond" w:hAnsi="Garamond" w:cs="Arial"/>
          <w:sz w:val="24"/>
          <w:szCs w:val="24"/>
        </w:rPr>
      </w:pPr>
    </w:p>
    <w:p w14:paraId="1E513671"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La dépense doit également relever de la période d’éligibilité de l’opération, être correctement justifiée et être rattachée au projet.</w:t>
      </w:r>
    </w:p>
    <w:p w14:paraId="2CA23C55" w14:textId="77777777" w:rsidR="00911F4F" w:rsidRPr="00911F4F" w:rsidRDefault="00911F4F" w:rsidP="00911F4F">
      <w:pPr>
        <w:spacing w:after="0" w:line="240" w:lineRule="auto"/>
        <w:jc w:val="both"/>
        <w:rPr>
          <w:rFonts w:ascii="Garamond" w:hAnsi="Garamond" w:cs="Arial"/>
          <w:sz w:val="24"/>
          <w:szCs w:val="24"/>
        </w:rPr>
      </w:pPr>
    </w:p>
    <w:p w14:paraId="66F153F4"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Il est recommandé d’expliquer clairement dans la demande de paiement qu’il s’agit d’une dépense concernant une période antérieure, mais qui n’avait pas été présentée dans la demande précédente.</w:t>
      </w:r>
      <w:r>
        <w:rPr>
          <w:rFonts w:ascii="Garamond" w:hAnsi="Garamond" w:cs="Arial"/>
          <w:sz w:val="24"/>
          <w:szCs w:val="24"/>
        </w:rPr>
        <w:t xml:space="preserve"> </w:t>
      </w:r>
      <w:r w:rsidRPr="00911F4F">
        <w:rPr>
          <w:rFonts w:ascii="Garamond" w:hAnsi="Garamond" w:cs="Arial"/>
          <w:sz w:val="24"/>
          <w:szCs w:val="24"/>
        </w:rPr>
        <w:t>L’objectif est d’éviter tout risque de doublon et de faciliter le contrôle.</w:t>
      </w:r>
    </w:p>
    <w:p w14:paraId="532EB7FE" w14:textId="77777777" w:rsidR="00911F4F" w:rsidRPr="00911F4F" w:rsidRDefault="00911F4F" w:rsidP="00911F4F">
      <w:pPr>
        <w:spacing w:after="0" w:line="240" w:lineRule="auto"/>
        <w:rPr>
          <w:rFonts w:ascii="Garamond" w:hAnsi="Garamond" w:cs="Arial"/>
          <w:sz w:val="24"/>
          <w:szCs w:val="24"/>
        </w:rPr>
      </w:pPr>
    </w:p>
    <w:p w14:paraId="42556AE2" w14:textId="77777777" w:rsidR="00911F4F" w:rsidRPr="00911F4F" w:rsidRDefault="00911F4F" w:rsidP="00911F4F">
      <w:pPr>
        <w:pStyle w:val="Paragraphedeliste"/>
        <w:numPr>
          <w:ilvl w:val="0"/>
          <w:numId w:val="1"/>
        </w:numPr>
        <w:spacing w:after="0" w:line="240" w:lineRule="auto"/>
        <w:jc w:val="both"/>
        <w:rPr>
          <w:rFonts w:ascii="Garamond" w:hAnsi="Garamond" w:cs="Arial"/>
          <w:b/>
          <w:sz w:val="24"/>
          <w:szCs w:val="24"/>
          <w:highlight w:val="lightGray"/>
        </w:rPr>
      </w:pPr>
      <w:r w:rsidRPr="00911F4F">
        <w:rPr>
          <w:rFonts w:ascii="Garamond" w:hAnsi="Garamond" w:cs="Arial"/>
          <w:b/>
          <w:sz w:val="24"/>
          <w:szCs w:val="24"/>
          <w:highlight w:val="lightGray"/>
        </w:rPr>
        <w:t>Est-ce qu’une personne qui n’est pas localisée en Guadeloupe peut émarger sur le projet ?</w:t>
      </w:r>
    </w:p>
    <w:p w14:paraId="61F2313F" w14:textId="77777777" w:rsidR="00911F4F" w:rsidRPr="00911F4F" w:rsidRDefault="00911F4F" w:rsidP="00911F4F">
      <w:pPr>
        <w:spacing w:after="0" w:line="240" w:lineRule="auto"/>
        <w:rPr>
          <w:rFonts w:ascii="Garamond" w:hAnsi="Garamond" w:cs="Arial"/>
          <w:sz w:val="24"/>
          <w:szCs w:val="24"/>
        </w:rPr>
      </w:pPr>
    </w:p>
    <w:p w14:paraId="2358333A" w14:textId="77777777" w:rsidR="00911F4F" w:rsidRPr="00911F4F" w:rsidRDefault="00911F4F" w:rsidP="00911F4F">
      <w:pPr>
        <w:spacing w:after="0" w:line="240" w:lineRule="auto"/>
        <w:rPr>
          <w:rFonts w:ascii="Garamond" w:hAnsi="Garamond" w:cs="Arial"/>
          <w:sz w:val="24"/>
          <w:szCs w:val="24"/>
        </w:rPr>
      </w:pPr>
      <w:r w:rsidRPr="00911F4F">
        <w:rPr>
          <w:rFonts w:ascii="Garamond" w:hAnsi="Garamond" w:cs="Arial"/>
          <w:sz w:val="24"/>
          <w:szCs w:val="24"/>
        </w:rPr>
        <w:t>La localisation géographique de la personne n’est pas, à elle seule, le critère déterminant.</w:t>
      </w:r>
    </w:p>
    <w:p w14:paraId="09B1FCC8" w14:textId="77777777" w:rsidR="00911F4F" w:rsidRPr="00911F4F" w:rsidRDefault="00911F4F" w:rsidP="00911F4F">
      <w:pPr>
        <w:spacing w:after="0" w:line="240" w:lineRule="auto"/>
        <w:rPr>
          <w:rFonts w:ascii="Garamond" w:hAnsi="Garamond" w:cs="Arial"/>
          <w:sz w:val="24"/>
          <w:szCs w:val="24"/>
        </w:rPr>
      </w:pPr>
    </w:p>
    <w:p w14:paraId="0C3B4DCA"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Une personne non localisée en Guadeloupe peut être valorisée si son intervention est directement nécessaire à l’opération, prévue ou cohérente avec le projet, et correctement justifiée.</w:t>
      </w:r>
    </w:p>
    <w:p w14:paraId="5A23FCA6" w14:textId="77777777" w:rsidR="00911F4F" w:rsidRPr="00911F4F" w:rsidRDefault="00911F4F" w:rsidP="00911F4F">
      <w:pPr>
        <w:spacing w:after="0" w:line="240" w:lineRule="auto"/>
        <w:jc w:val="both"/>
        <w:rPr>
          <w:rFonts w:ascii="Garamond" w:hAnsi="Garamond" w:cs="Arial"/>
          <w:sz w:val="24"/>
          <w:szCs w:val="24"/>
        </w:rPr>
      </w:pPr>
    </w:p>
    <w:p w14:paraId="31A043F9"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Il faut toutefois vérifier les règles propres au dispositif concerné, notamment lorsque le projet vise un public, un territoire ou une action strictement localisée.</w:t>
      </w:r>
    </w:p>
    <w:p w14:paraId="6C5C6EDC" w14:textId="77777777" w:rsidR="00911F4F" w:rsidRPr="00911F4F" w:rsidRDefault="00911F4F" w:rsidP="00911F4F">
      <w:pPr>
        <w:spacing w:after="0" w:line="240" w:lineRule="auto"/>
        <w:jc w:val="both"/>
        <w:rPr>
          <w:rFonts w:ascii="Garamond" w:hAnsi="Garamond" w:cs="Arial"/>
          <w:sz w:val="24"/>
          <w:szCs w:val="24"/>
        </w:rPr>
      </w:pPr>
    </w:p>
    <w:p w14:paraId="3115F219"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Le bénéficiaire devra pouvoir démontrer le lien direct entre les missions réalisées par cette personne et l’opération cofinancée.</w:t>
      </w:r>
    </w:p>
    <w:p w14:paraId="31F56C72" w14:textId="77777777" w:rsidR="00911F4F" w:rsidRPr="00911F4F" w:rsidRDefault="00911F4F" w:rsidP="00911F4F">
      <w:pPr>
        <w:spacing w:after="0" w:line="240" w:lineRule="auto"/>
        <w:rPr>
          <w:rFonts w:ascii="Garamond" w:hAnsi="Garamond" w:cs="Arial"/>
          <w:sz w:val="24"/>
          <w:szCs w:val="24"/>
        </w:rPr>
      </w:pPr>
    </w:p>
    <w:p w14:paraId="2F4E1035" w14:textId="77777777" w:rsidR="00911F4F" w:rsidRPr="00911F4F" w:rsidRDefault="00911F4F" w:rsidP="00911F4F">
      <w:pPr>
        <w:pStyle w:val="Paragraphedeliste"/>
        <w:numPr>
          <w:ilvl w:val="0"/>
          <w:numId w:val="1"/>
        </w:numPr>
        <w:spacing w:after="0" w:line="240" w:lineRule="auto"/>
        <w:jc w:val="both"/>
        <w:rPr>
          <w:rFonts w:ascii="Garamond" w:hAnsi="Garamond" w:cs="Arial"/>
          <w:b/>
          <w:sz w:val="24"/>
          <w:szCs w:val="24"/>
          <w:highlight w:val="lightGray"/>
        </w:rPr>
      </w:pPr>
      <w:r w:rsidRPr="00911F4F">
        <w:rPr>
          <w:rFonts w:ascii="Garamond" w:hAnsi="Garamond" w:cs="Arial"/>
          <w:b/>
          <w:sz w:val="24"/>
          <w:szCs w:val="24"/>
          <w:highlight w:val="lightGray"/>
        </w:rPr>
        <w:t>Pour les salaires ?</w:t>
      </w:r>
    </w:p>
    <w:p w14:paraId="60D07CF8" w14:textId="77777777" w:rsidR="00911F4F" w:rsidRPr="00911F4F" w:rsidRDefault="00911F4F" w:rsidP="00911F4F">
      <w:pPr>
        <w:spacing w:after="0" w:line="240" w:lineRule="auto"/>
        <w:rPr>
          <w:rFonts w:ascii="Garamond" w:hAnsi="Garamond" w:cs="Arial"/>
          <w:sz w:val="24"/>
          <w:szCs w:val="24"/>
        </w:rPr>
      </w:pPr>
    </w:p>
    <w:p w14:paraId="39572D61"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Oui, la même logique s’applique aux dépenses de personnel.</w:t>
      </w:r>
    </w:p>
    <w:p w14:paraId="6074C2AB" w14:textId="77777777" w:rsidR="00911F4F" w:rsidRPr="00911F4F" w:rsidRDefault="00911F4F" w:rsidP="00911F4F">
      <w:pPr>
        <w:spacing w:after="0" w:line="240" w:lineRule="auto"/>
        <w:jc w:val="both"/>
        <w:rPr>
          <w:rFonts w:ascii="Garamond" w:hAnsi="Garamond" w:cs="Arial"/>
          <w:sz w:val="24"/>
          <w:szCs w:val="24"/>
        </w:rPr>
      </w:pPr>
    </w:p>
    <w:p w14:paraId="7A5D118E"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Un salarié non localisé en Guadeloupe peut être valorisé si son travail est directement rattachable au projet et si les missions réalisées sont justifiées.</w:t>
      </w:r>
    </w:p>
    <w:p w14:paraId="5F7762F4" w14:textId="77777777" w:rsidR="00911F4F" w:rsidRPr="00911F4F" w:rsidRDefault="00911F4F" w:rsidP="00911F4F">
      <w:pPr>
        <w:spacing w:after="0" w:line="240" w:lineRule="auto"/>
        <w:jc w:val="both"/>
        <w:rPr>
          <w:rFonts w:ascii="Garamond" w:hAnsi="Garamond" w:cs="Arial"/>
          <w:sz w:val="24"/>
          <w:szCs w:val="24"/>
        </w:rPr>
      </w:pPr>
    </w:p>
    <w:p w14:paraId="021C19EA"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Les pièces attendues sont les mêmes que pour les autres salariés : contrat, fiche de poste ou lettre de mission, éléments de temps passé, bulletins de salaire, preuves d’acquittement et méthode de calcul.</w:t>
      </w:r>
    </w:p>
    <w:p w14:paraId="0B1ACF5F" w14:textId="77777777" w:rsidR="00911F4F" w:rsidRPr="00911F4F" w:rsidRDefault="00911F4F" w:rsidP="00911F4F">
      <w:pPr>
        <w:spacing w:after="0" w:line="240" w:lineRule="auto"/>
        <w:rPr>
          <w:rFonts w:ascii="Garamond" w:hAnsi="Garamond" w:cs="Arial"/>
          <w:sz w:val="24"/>
          <w:szCs w:val="24"/>
        </w:rPr>
      </w:pPr>
    </w:p>
    <w:p w14:paraId="1E922D2F" w14:textId="77777777" w:rsidR="00911F4F" w:rsidRPr="00911F4F" w:rsidRDefault="00911F4F" w:rsidP="00911F4F">
      <w:pPr>
        <w:pStyle w:val="Paragraphedeliste"/>
        <w:numPr>
          <w:ilvl w:val="0"/>
          <w:numId w:val="1"/>
        </w:numPr>
        <w:spacing w:after="0" w:line="240" w:lineRule="auto"/>
        <w:jc w:val="both"/>
        <w:rPr>
          <w:rFonts w:ascii="Garamond" w:hAnsi="Garamond" w:cs="Arial"/>
          <w:b/>
          <w:sz w:val="24"/>
          <w:szCs w:val="24"/>
          <w:highlight w:val="lightGray"/>
        </w:rPr>
      </w:pPr>
      <w:r w:rsidRPr="00911F4F">
        <w:rPr>
          <w:rFonts w:ascii="Garamond" w:hAnsi="Garamond" w:cs="Arial"/>
          <w:b/>
          <w:sz w:val="24"/>
          <w:szCs w:val="24"/>
          <w:highlight w:val="lightGray"/>
        </w:rPr>
        <w:t>La saisie des devis est-elle obligatoire ?</w:t>
      </w:r>
    </w:p>
    <w:p w14:paraId="68DC1AFC" w14:textId="77777777" w:rsidR="00911F4F" w:rsidRPr="00911F4F" w:rsidRDefault="00911F4F" w:rsidP="00911F4F">
      <w:pPr>
        <w:spacing w:after="0" w:line="240" w:lineRule="auto"/>
        <w:rPr>
          <w:rFonts w:ascii="Garamond" w:hAnsi="Garamond" w:cs="Arial"/>
          <w:sz w:val="24"/>
          <w:szCs w:val="24"/>
        </w:rPr>
      </w:pPr>
    </w:p>
    <w:p w14:paraId="5F042BF8"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La saisie ou le rattachement des devis est nécessaire lorsqu’ils existent et qu’ils permettent de justifier la dépense, la mise en concurrence ou le choix du fournisseur.</w:t>
      </w:r>
    </w:p>
    <w:p w14:paraId="3E17B956" w14:textId="77777777" w:rsidR="00911F4F" w:rsidRPr="00911F4F" w:rsidRDefault="00911F4F" w:rsidP="00911F4F">
      <w:pPr>
        <w:spacing w:after="0" w:line="240" w:lineRule="auto"/>
        <w:jc w:val="both"/>
        <w:rPr>
          <w:rFonts w:ascii="Garamond" w:hAnsi="Garamond" w:cs="Arial"/>
          <w:sz w:val="24"/>
          <w:szCs w:val="24"/>
        </w:rPr>
      </w:pPr>
    </w:p>
    <w:p w14:paraId="2F2DF5D4"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Si aucun devis n’a été établi pour une dépense de faible montant, il convient de l’indiquer clairement et de produire les autres pièces disponibles : facture, preuve de paiement, bon de commande le cas échéant, note explicative ou tout élément permettant de comprendre la dépense.</w:t>
      </w:r>
    </w:p>
    <w:p w14:paraId="113C9AD6" w14:textId="77777777" w:rsidR="00911F4F" w:rsidRPr="00911F4F" w:rsidRDefault="00911F4F" w:rsidP="00911F4F">
      <w:pPr>
        <w:spacing w:after="0" w:line="240" w:lineRule="auto"/>
        <w:jc w:val="both"/>
        <w:rPr>
          <w:rFonts w:ascii="Garamond" w:hAnsi="Garamond" w:cs="Arial"/>
          <w:sz w:val="24"/>
          <w:szCs w:val="24"/>
        </w:rPr>
      </w:pPr>
    </w:p>
    <w:p w14:paraId="5D0CCEE5"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L’absence de devis ne dispense pas de démontrer que la dépense est réelle, nécessaire, raisonnable et rattachée au projet.</w:t>
      </w:r>
    </w:p>
    <w:p w14:paraId="4F6A0826" w14:textId="77777777" w:rsidR="00911F4F" w:rsidRPr="00911F4F" w:rsidRDefault="00911F4F" w:rsidP="00911F4F">
      <w:pPr>
        <w:spacing w:after="0" w:line="240" w:lineRule="auto"/>
        <w:rPr>
          <w:rFonts w:ascii="Garamond" w:hAnsi="Garamond" w:cs="Arial"/>
          <w:sz w:val="24"/>
          <w:szCs w:val="24"/>
        </w:rPr>
      </w:pPr>
    </w:p>
    <w:p w14:paraId="31C7754B" w14:textId="77777777" w:rsidR="00911F4F" w:rsidRPr="00E52172" w:rsidRDefault="00911F4F" w:rsidP="00911F4F">
      <w:pPr>
        <w:pStyle w:val="Paragraphedeliste"/>
        <w:numPr>
          <w:ilvl w:val="0"/>
          <w:numId w:val="1"/>
        </w:numPr>
        <w:spacing w:after="0" w:line="240" w:lineRule="auto"/>
        <w:rPr>
          <w:rFonts w:ascii="Garamond" w:hAnsi="Garamond" w:cs="Arial"/>
          <w:b/>
          <w:sz w:val="24"/>
          <w:szCs w:val="24"/>
          <w:highlight w:val="lightGray"/>
        </w:rPr>
      </w:pPr>
      <w:r w:rsidRPr="00E52172">
        <w:rPr>
          <w:rFonts w:ascii="Garamond" w:hAnsi="Garamond" w:cs="Arial"/>
          <w:b/>
          <w:sz w:val="24"/>
          <w:szCs w:val="24"/>
          <w:highlight w:val="lightGray"/>
        </w:rPr>
        <w:t>Les factures ne suffisent-elles pas ?</w:t>
      </w:r>
    </w:p>
    <w:p w14:paraId="4BEB8FC5" w14:textId="77777777" w:rsidR="00911F4F" w:rsidRPr="00911F4F" w:rsidRDefault="00911F4F" w:rsidP="00911F4F">
      <w:pPr>
        <w:spacing w:after="0" w:line="240" w:lineRule="auto"/>
        <w:rPr>
          <w:rFonts w:ascii="Garamond" w:hAnsi="Garamond" w:cs="Arial"/>
          <w:sz w:val="24"/>
          <w:szCs w:val="24"/>
        </w:rPr>
      </w:pPr>
    </w:p>
    <w:p w14:paraId="26F74405"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Pas toujours.</w:t>
      </w:r>
      <w:r>
        <w:rPr>
          <w:rFonts w:ascii="Garamond" w:hAnsi="Garamond" w:cs="Arial"/>
          <w:sz w:val="24"/>
          <w:szCs w:val="24"/>
        </w:rPr>
        <w:t xml:space="preserve"> </w:t>
      </w:r>
      <w:r w:rsidRPr="00911F4F">
        <w:rPr>
          <w:rFonts w:ascii="Garamond" w:hAnsi="Garamond" w:cs="Arial"/>
          <w:sz w:val="24"/>
          <w:szCs w:val="24"/>
        </w:rPr>
        <w:t>Une facture permet de justifier une dépense facturée, mais elle ne suffit pas nécessairement à démontrer l’ensemble des éléments contrôlés.</w:t>
      </w:r>
    </w:p>
    <w:p w14:paraId="76F94A48" w14:textId="77777777" w:rsidR="00911F4F" w:rsidRPr="00911F4F" w:rsidRDefault="00911F4F" w:rsidP="00911F4F">
      <w:pPr>
        <w:spacing w:after="0" w:line="240" w:lineRule="auto"/>
        <w:jc w:val="both"/>
        <w:rPr>
          <w:rFonts w:ascii="Garamond" w:hAnsi="Garamond" w:cs="Arial"/>
          <w:sz w:val="24"/>
          <w:szCs w:val="24"/>
        </w:rPr>
      </w:pPr>
    </w:p>
    <w:p w14:paraId="54A39D86"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Le contrôle de service fait porte notamment sur :</w:t>
      </w:r>
      <w:r>
        <w:rPr>
          <w:rFonts w:ascii="Garamond" w:hAnsi="Garamond" w:cs="Arial"/>
          <w:sz w:val="24"/>
          <w:szCs w:val="24"/>
        </w:rPr>
        <w:t xml:space="preserve"> </w:t>
      </w:r>
      <w:r w:rsidRPr="00911F4F">
        <w:rPr>
          <w:rFonts w:ascii="Garamond" w:hAnsi="Garamond" w:cs="Arial"/>
          <w:sz w:val="24"/>
          <w:szCs w:val="24"/>
        </w:rPr>
        <w:t>la réalité de la dépense</w:t>
      </w:r>
      <w:r>
        <w:rPr>
          <w:rFonts w:ascii="Garamond" w:hAnsi="Garamond" w:cs="Arial"/>
          <w:sz w:val="24"/>
          <w:szCs w:val="24"/>
        </w:rPr>
        <w:t xml:space="preserve"> ; </w:t>
      </w:r>
      <w:r w:rsidRPr="00911F4F">
        <w:rPr>
          <w:rFonts w:ascii="Garamond" w:hAnsi="Garamond" w:cs="Arial"/>
          <w:sz w:val="24"/>
          <w:szCs w:val="24"/>
        </w:rPr>
        <w:t>son acquittement ;</w:t>
      </w:r>
      <w:r>
        <w:rPr>
          <w:rFonts w:ascii="Garamond" w:hAnsi="Garamond" w:cs="Arial"/>
          <w:sz w:val="24"/>
          <w:szCs w:val="24"/>
        </w:rPr>
        <w:t xml:space="preserve"> </w:t>
      </w:r>
      <w:r w:rsidRPr="00911F4F">
        <w:rPr>
          <w:rFonts w:ascii="Garamond" w:hAnsi="Garamond" w:cs="Arial"/>
          <w:sz w:val="24"/>
          <w:szCs w:val="24"/>
        </w:rPr>
        <w:t>son rattachement à l’opération ;</w:t>
      </w:r>
      <w:r>
        <w:rPr>
          <w:rFonts w:ascii="Garamond" w:hAnsi="Garamond" w:cs="Arial"/>
          <w:sz w:val="24"/>
          <w:szCs w:val="24"/>
        </w:rPr>
        <w:t xml:space="preserve"> </w:t>
      </w:r>
      <w:r w:rsidRPr="00911F4F">
        <w:rPr>
          <w:rFonts w:ascii="Garamond" w:hAnsi="Garamond" w:cs="Arial"/>
          <w:sz w:val="24"/>
          <w:szCs w:val="24"/>
        </w:rPr>
        <w:t>son caractère éligible ;</w:t>
      </w:r>
      <w:r>
        <w:rPr>
          <w:rFonts w:ascii="Garamond" w:hAnsi="Garamond" w:cs="Arial"/>
          <w:sz w:val="24"/>
          <w:szCs w:val="24"/>
        </w:rPr>
        <w:t xml:space="preserve"> </w:t>
      </w:r>
      <w:r w:rsidRPr="00911F4F">
        <w:rPr>
          <w:rFonts w:ascii="Garamond" w:hAnsi="Garamond" w:cs="Arial"/>
          <w:sz w:val="24"/>
          <w:szCs w:val="24"/>
        </w:rPr>
        <w:t>le respect des règles de mise en concurrence ou de commande publique, le cas échéant ;</w:t>
      </w:r>
      <w:r>
        <w:rPr>
          <w:rFonts w:ascii="Garamond" w:hAnsi="Garamond" w:cs="Arial"/>
          <w:sz w:val="24"/>
          <w:szCs w:val="24"/>
        </w:rPr>
        <w:t xml:space="preserve"> </w:t>
      </w:r>
      <w:r w:rsidRPr="00911F4F">
        <w:rPr>
          <w:rFonts w:ascii="Garamond" w:hAnsi="Garamond" w:cs="Arial"/>
          <w:sz w:val="24"/>
          <w:szCs w:val="24"/>
        </w:rPr>
        <w:t>la réalisation effective de l’action ou de la prestation.</w:t>
      </w:r>
    </w:p>
    <w:p w14:paraId="23DEF0C7" w14:textId="77777777" w:rsidR="00911F4F" w:rsidRDefault="00911F4F" w:rsidP="00911F4F">
      <w:pPr>
        <w:spacing w:after="0" w:line="240" w:lineRule="auto"/>
        <w:jc w:val="both"/>
        <w:rPr>
          <w:rFonts w:ascii="Garamond" w:hAnsi="Garamond" w:cs="Arial"/>
          <w:sz w:val="24"/>
          <w:szCs w:val="24"/>
        </w:rPr>
      </w:pPr>
    </w:p>
    <w:p w14:paraId="3AC7C6A1" w14:textId="77777777" w:rsidR="00911F4F" w:rsidRPr="00911F4F" w:rsidRDefault="00911F4F" w:rsidP="00911F4F">
      <w:pPr>
        <w:spacing w:after="0" w:line="240" w:lineRule="auto"/>
        <w:jc w:val="both"/>
        <w:rPr>
          <w:rFonts w:ascii="Garamond" w:hAnsi="Garamond" w:cs="Arial"/>
          <w:sz w:val="24"/>
          <w:szCs w:val="24"/>
        </w:rPr>
      </w:pPr>
      <w:r w:rsidRPr="00911F4F">
        <w:rPr>
          <w:rFonts w:ascii="Garamond" w:hAnsi="Garamond" w:cs="Arial"/>
          <w:sz w:val="24"/>
          <w:szCs w:val="24"/>
        </w:rPr>
        <w:t>La facture doit donc être complétée par les pièces nécessaires selon la nature de la dépense.</w:t>
      </w:r>
    </w:p>
    <w:p w14:paraId="1D1BDB24" w14:textId="77777777" w:rsidR="00911F4F" w:rsidRPr="00911F4F" w:rsidRDefault="00911F4F" w:rsidP="00911F4F">
      <w:pPr>
        <w:spacing w:after="0" w:line="240" w:lineRule="auto"/>
        <w:rPr>
          <w:rFonts w:ascii="Garamond" w:hAnsi="Garamond" w:cs="Arial"/>
          <w:sz w:val="24"/>
          <w:szCs w:val="24"/>
        </w:rPr>
      </w:pPr>
    </w:p>
    <w:p w14:paraId="50B2C6F3" w14:textId="77777777" w:rsidR="00911F4F" w:rsidRPr="00911F4F" w:rsidRDefault="00911F4F" w:rsidP="00911F4F">
      <w:pPr>
        <w:pStyle w:val="Paragraphedeliste"/>
        <w:numPr>
          <w:ilvl w:val="0"/>
          <w:numId w:val="1"/>
        </w:numPr>
        <w:spacing w:after="0" w:line="240" w:lineRule="auto"/>
        <w:rPr>
          <w:rFonts w:ascii="Garamond" w:hAnsi="Garamond" w:cs="Arial"/>
          <w:b/>
          <w:sz w:val="24"/>
          <w:szCs w:val="24"/>
        </w:rPr>
      </w:pPr>
      <w:r w:rsidRPr="00E52172">
        <w:rPr>
          <w:rFonts w:ascii="Garamond" w:hAnsi="Garamond" w:cs="Arial"/>
          <w:b/>
          <w:sz w:val="24"/>
          <w:szCs w:val="24"/>
          <w:highlight w:val="lightGray"/>
        </w:rPr>
        <w:t>Pour la saisie de la paie par année, faut-il saisir pour la même personne par WP ?</w:t>
      </w:r>
    </w:p>
    <w:p w14:paraId="75872E11" w14:textId="77777777" w:rsidR="00911F4F" w:rsidRPr="00911F4F" w:rsidRDefault="00911F4F" w:rsidP="00911F4F">
      <w:pPr>
        <w:spacing w:after="0" w:line="240" w:lineRule="auto"/>
        <w:rPr>
          <w:rFonts w:ascii="Garamond" w:hAnsi="Garamond" w:cs="Arial"/>
          <w:sz w:val="24"/>
          <w:szCs w:val="24"/>
        </w:rPr>
      </w:pPr>
    </w:p>
    <w:p w14:paraId="5DFF418D"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 xml:space="preserve">Oui, si le projet est structuré par </w:t>
      </w:r>
      <w:proofErr w:type="spellStart"/>
      <w:r w:rsidRPr="00911F4F">
        <w:rPr>
          <w:rFonts w:ascii="Garamond" w:hAnsi="Garamond" w:cs="Arial"/>
          <w:sz w:val="24"/>
          <w:szCs w:val="24"/>
        </w:rPr>
        <w:t>work</w:t>
      </w:r>
      <w:proofErr w:type="spellEnd"/>
      <w:r w:rsidRPr="00911F4F">
        <w:rPr>
          <w:rFonts w:ascii="Garamond" w:hAnsi="Garamond" w:cs="Arial"/>
          <w:sz w:val="24"/>
          <w:szCs w:val="24"/>
        </w:rPr>
        <w:t xml:space="preserve"> packages, actions, lots ou postes conventionnés, les dépenses de personnel doivent être rattachées au bon WP ou à la bonne action.</w:t>
      </w:r>
    </w:p>
    <w:p w14:paraId="2482B656" w14:textId="77777777" w:rsidR="00911F4F" w:rsidRPr="00911F4F" w:rsidRDefault="00911F4F" w:rsidP="00E52172">
      <w:pPr>
        <w:spacing w:after="0" w:line="240" w:lineRule="auto"/>
        <w:jc w:val="both"/>
        <w:rPr>
          <w:rFonts w:ascii="Garamond" w:hAnsi="Garamond" w:cs="Arial"/>
          <w:sz w:val="24"/>
          <w:szCs w:val="24"/>
        </w:rPr>
      </w:pPr>
    </w:p>
    <w:p w14:paraId="4599BB3D"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Si une même personne intervient sur plusieurs WP, la dépense doit être ventilée selon une méthode claire, justifiée et non doublonnée.</w:t>
      </w:r>
    </w:p>
    <w:p w14:paraId="35B0DD44" w14:textId="77777777" w:rsidR="00911F4F" w:rsidRPr="00911F4F" w:rsidRDefault="00911F4F" w:rsidP="00911F4F">
      <w:pPr>
        <w:spacing w:after="0" w:line="240" w:lineRule="auto"/>
        <w:rPr>
          <w:rFonts w:ascii="Garamond" w:hAnsi="Garamond" w:cs="Arial"/>
          <w:sz w:val="24"/>
          <w:szCs w:val="24"/>
        </w:rPr>
      </w:pPr>
    </w:p>
    <w:p w14:paraId="5D2545D4"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Cette ventilation permet de vérifier que le temps déclaré correspond bien aux activités prévues dans l’opération.</w:t>
      </w:r>
    </w:p>
    <w:p w14:paraId="79F4C4D5" w14:textId="77777777" w:rsidR="00911F4F" w:rsidRPr="00911F4F" w:rsidRDefault="00911F4F" w:rsidP="00E52172">
      <w:pPr>
        <w:spacing w:after="0" w:line="240" w:lineRule="auto"/>
        <w:jc w:val="both"/>
        <w:rPr>
          <w:rFonts w:ascii="Garamond" w:hAnsi="Garamond" w:cs="Arial"/>
          <w:sz w:val="24"/>
          <w:szCs w:val="24"/>
        </w:rPr>
      </w:pPr>
    </w:p>
    <w:p w14:paraId="3E301205" w14:textId="77777777" w:rsidR="00911F4F" w:rsidRPr="00E52172" w:rsidRDefault="00911F4F" w:rsidP="00E52172">
      <w:pPr>
        <w:pStyle w:val="Paragraphedeliste"/>
        <w:numPr>
          <w:ilvl w:val="0"/>
          <w:numId w:val="1"/>
        </w:numPr>
        <w:spacing w:after="0" w:line="240" w:lineRule="auto"/>
        <w:jc w:val="both"/>
        <w:rPr>
          <w:rFonts w:ascii="Garamond" w:hAnsi="Garamond" w:cs="Arial"/>
          <w:b/>
          <w:sz w:val="24"/>
          <w:szCs w:val="24"/>
          <w:highlight w:val="lightGray"/>
        </w:rPr>
      </w:pPr>
      <w:r w:rsidRPr="00E52172">
        <w:rPr>
          <w:rFonts w:ascii="Garamond" w:hAnsi="Garamond" w:cs="Arial"/>
          <w:b/>
          <w:sz w:val="24"/>
          <w:szCs w:val="24"/>
          <w:highlight w:val="lightGray"/>
        </w:rPr>
        <w:t>Même si le devis n’est plus d’actualité ?</w:t>
      </w:r>
    </w:p>
    <w:p w14:paraId="5530205C" w14:textId="77777777" w:rsidR="00911F4F" w:rsidRPr="00911F4F" w:rsidRDefault="00911F4F" w:rsidP="00E52172">
      <w:pPr>
        <w:spacing w:after="0" w:line="240" w:lineRule="auto"/>
        <w:jc w:val="both"/>
        <w:rPr>
          <w:rFonts w:ascii="Garamond" w:hAnsi="Garamond" w:cs="Arial"/>
          <w:sz w:val="24"/>
          <w:szCs w:val="24"/>
        </w:rPr>
      </w:pPr>
    </w:p>
    <w:p w14:paraId="32563B65"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Oui, le devis initial peut rester utile pour la piste d’audit, notamment pour comprendre l’estimation initiale, la mise en concurrence ou le choix du fournisseur.</w:t>
      </w:r>
    </w:p>
    <w:p w14:paraId="31316098" w14:textId="77777777" w:rsidR="00911F4F" w:rsidRPr="00911F4F" w:rsidRDefault="00911F4F" w:rsidP="00E52172">
      <w:pPr>
        <w:spacing w:after="0" w:line="240" w:lineRule="auto"/>
        <w:jc w:val="both"/>
        <w:rPr>
          <w:rFonts w:ascii="Garamond" w:hAnsi="Garamond" w:cs="Arial"/>
          <w:sz w:val="24"/>
          <w:szCs w:val="24"/>
        </w:rPr>
      </w:pPr>
    </w:p>
    <w:p w14:paraId="4E5364F6"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En revanche, si le montant, le fournisseur, le contenu de la prestation ou les conditions d’exécution ont évolué, il faut également transmettre les pièces actualisées : nouveau devis, bon de commande, contrat, marché, avenant ou facture finale.</w:t>
      </w:r>
    </w:p>
    <w:p w14:paraId="7054FE9E" w14:textId="77777777" w:rsidR="00911F4F" w:rsidRPr="00911F4F" w:rsidRDefault="00911F4F" w:rsidP="00E52172">
      <w:pPr>
        <w:spacing w:after="0" w:line="240" w:lineRule="auto"/>
        <w:jc w:val="both"/>
        <w:rPr>
          <w:rFonts w:ascii="Garamond" w:hAnsi="Garamond" w:cs="Arial"/>
          <w:sz w:val="24"/>
          <w:szCs w:val="24"/>
        </w:rPr>
      </w:pPr>
    </w:p>
    <w:p w14:paraId="07B8D7A8"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Le contrôle doit permettre de comprendre l’évolution entre le besoin initial et la dépense effectivement réalisée.</w:t>
      </w:r>
    </w:p>
    <w:p w14:paraId="5935FD01" w14:textId="77777777" w:rsidR="00911F4F" w:rsidRPr="00911F4F" w:rsidRDefault="00911F4F" w:rsidP="00911F4F">
      <w:pPr>
        <w:spacing w:after="0" w:line="240" w:lineRule="auto"/>
        <w:rPr>
          <w:rFonts w:ascii="Garamond" w:hAnsi="Garamond" w:cs="Arial"/>
          <w:sz w:val="24"/>
          <w:szCs w:val="24"/>
        </w:rPr>
      </w:pPr>
    </w:p>
    <w:p w14:paraId="0737F951" w14:textId="77777777" w:rsidR="00911F4F" w:rsidRPr="00E52172" w:rsidRDefault="00911F4F" w:rsidP="00E52172">
      <w:pPr>
        <w:pStyle w:val="Paragraphedeliste"/>
        <w:numPr>
          <w:ilvl w:val="0"/>
          <w:numId w:val="1"/>
        </w:numPr>
        <w:spacing w:after="0" w:line="240" w:lineRule="auto"/>
        <w:jc w:val="both"/>
        <w:rPr>
          <w:rFonts w:ascii="Garamond" w:hAnsi="Garamond" w:cs="Arial"/>
          <w:b/>
          <w:sz w:val="24"/>
          <w:szCs w:val="24"/>
          <w:highlight w:val="lightGray"/>
        </w:rPr>
      </w:pPr>
      <w:r w:rsidRPr="00E52172">
        <w:rPr>
          <w:rFonts w:ascii="Garamond" w:hAnsi="Garamond" w:cs="Arial"/>
          <w:b/>
          <w:sz w:val="24"/>
          <w:szCs w:val="24"/>
          <w:highlight w:val="lightGray"/>
        </w:rPr>
        <w:t>Est-ce pour tracer la nature de la dépense ?</w:t>
      </w:r>
    </w:p>
    <w:p w14:paraId="096445C3" w14:textId="77777777" w:rsidR="00911F4F" w:rsidRPr="00911F4F" w:rsidRDefault="00911F4F" w:rsidP="00911F4F">
      <w:pPr>
        <w:spacing w:after="0" w:line="240" w:lineRule="auto"/>
        <w:rPr>
          <w:rFonts w:ascii="Garamond" w:hAnsi="Garamond" w:cs="Arial"/>
          <w:sz w:val="24"/>
          <w:szCs w:val="24"/>
        </w:rPr>
      </w:pPr>
    </w:p>
    <w:p w14:paraId="66D4F931"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Oui.</w:t>
      </w:r>
      <w:r w:rsidR="00E52172">
        <w:rPr>
          <w:rFonts w:ascii="Garamond" w:hAnsi="Garamond" w:cs="Arial"/>
          <w:sz w:val="24"/>
          <w:szCs w:val="24"/>
        </w:rPr>
        <w:t xml:space="preserve"> </w:t>
      </w:r>
      <w:r w:rsidRPr="00911F4F">
        <w:rPr>
          <w:rFonts w:ascii="Garamond" w:hAnsi="Garamond" w:cs="Arial"/>
          <w:sz w:val="24"/>
          <w:szCs w:val="24"/>
        </w:rPr>
        <w:t>Les devis, bons de commande, contrats, marchés ou avenants permettent de tracer la nature de la dépense, son montant, son lien avec l’opération, le fournisseur retenu et la procédure suivie.</w:t>
      </w:r>
    </w:p>
    <w:p w14:paraId="1368C537" w14:textId="77777777" w:rsidR="00911F4F" w:rsidRPr="00911F4F" w:rsidRDefault="00911F4F" w:rsidP="00E52172">
      <w:pPr>
        <w:spacing w:after="0" w:line="240" w:lineRule="auto"/>
        <w:jc w:val="both"/>
        <w:rPr>
          <w:rFonts w:ascii="Garamond" w:hAnsi="Garamond" w:cs="Arial"/>
          <w:sz w:val="24"/>
          <w:szCs w:val="24"/>
        </w:rPr>
      </w:pPr>
    </w:p>
    <w:p w14:paraId="35627E7C"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Ils contribuent à sécuriser la piste d’audit et à limiter les demandes de pièces complémentaires lors du contrôle de service fait.</w:t>
      </w:r>
    </w:p>
    <w:p w14:paraId="1E9B3B08" w14:textId="77777777" w:rsidR="00911F4F" w:rsidRPr="00911F4F" w:rsidRDefault="00911F4F" w:rsidP="00911F4F">
      <w:pPr>
        <w:spacing w:after="0" w:line="240" w:lineRule="auto"/>
        <w:rPr>
          <w:rFonts w:ascii="Garamond" w:hAnsi="Garamond" w:cs="Arial"/>
          <w:sz w:val="24"/>
          <w:szCs w:val="24"/>
        </w:rPr>
      </w:pPr>
    </w:p>
    <w:p w14:paraId="44346F88" w14:textId="77777777" w:rsidR="00911F4F" w:rsidRPr="00E52172" w:rsidRDefault="00911F4F" w:rsidP="00E52172">
      <w:pPr>
        <w:pStyle w:val="Paragraphedeliste"/>
        <w:numPr>
          <w:ilvl w:val="0"/>
          <w:numId w:val="1"/>
        </w:numPr>
        <w:spacing w:after="0" w:line="240" w:lineRule="auto"/>
        <w:jc w:val="both"/>
        <w:rPr>
          <w:rFonts w:ascii="Garamond" w:hAnsi="Garamond" w:cs="Arial"/>
          <w:b/>
          <w:sz w:val="24"/>
          <w:szCs w:val="24"/>
          <w:highlight w:val="lightGray"/>
        </w:rPr>
      </w:pPr>
      <w:r w:rsidRPr="00E52172">
        <w:rPr>
          <w:rFonts w:ascii="Garamond" w:hAnsi="Garamond" w:cs="Arial"/>
          <w:b/>
          <w:sz w:val="24"/>
          <w:szCs w:val="24"/>
          <w:highlight w:val="lightGray"/>
        </w:rPr>
        <w:t>Pour les petites dépenses où un achat direct a été fait sans devis, comment fait-on pour la référence des devis ?</w:t>
      </w:r>
    </w:p>
    <w:p w14:paraId="2AA79524" w14:textId="77777777" w:rsidR="00911F4F" w:rsidRPr="00911F4F" w:rsidRDefault="00911F4F" w:rsidP="00911F4F">
      <w:pPr>
        <w:spacing w:after="0" w:line="240" w:lineRule="auto"/>
        <w:rPr>
          <w:rFonts w:ascii="Garamond" w:hAnsi="Garamond" w:cs="Arial"/>
          <w:sz w:val="24"/>
          <w:szCs w:val="24"/>
        </w:rPr>
      </w:pPr>
    </w:p>
    <w:p w14:paraId="7A114CA8"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Pour une petite dépense sans devis, il est possible d’indiquer “sans devis – achat direct de faible montant” ou “sans objet”.</w:t>
      </w:r>
    </w:p>
    <w:p w14:paraId="04B6CD49" w14:textId="77777777" w:rsidR="00911F4F" w:rsidRPr="00911F4F" w:rsidRDefault="00911F4F" w:rsidP="00E52172">
      <w:pPr>
        <w:spacing w:after="0" w:line="240" w:lineRule="auto"/>
        <w:jc w:val="both"/>
        <w:rPr>
          <w:rFonts w:ascii="Garamond" w:hAnsi="Garamond" w:cs="Arial"/>
          <w:sz w:val="24"/>
          <w:szCs w:val="24"/>
        </w:rPr>
      </w:pPr>
    </w:p>
    <w:p w14:paraId="73EE0D8F"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Il convient ensuite de rattacher la facture correspondante, accompagnée de la preuve de paiement si nécessaire.</w:t>
      </w:r>
    </w:p>
    <w:p w14:paraId="0E8B0EF4" w14:textId="77777777" w:rsidR="00911F4F" w:rsidRPr="00911F4F" w:rsidRDefault="00911F4F" w:rsidP="00E52172">
      <w:pPr>
        <w:spacing w:after="0" w:line="240" w:lineRule="auto"/>
        <w:jc w:val="both"/>
        <w:rPr>
          <w:rFonts w:ascii="Garamond" w:hAnsi="Garamond" w:cs="Arial"/>
          <w:sz w:val="24"/>
          <w:szCs w:val="24"/>
        </w:rPr>
      </w:pPr>
    </w:p>
    <w:p w14:paraId="07C95E9E"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La dépense devra pouvoir être comprise et contrôlée : nature de l’achat, montant, fournisseur, lien avec l’opération, paiement effectif et caractère raisonnable.</w:t>
      </w:r>
      <w:r w:rsidR="00E52172">
        <w:rPr>
          <w:rFonts w:ascii="Garamond" w:hAnsi="Garamond" w:cs="Arial"/>
          <w:sz w:val="24"/>
          <w:szCs w:val="24"/>
        </w:rPr>
        <w:t xml:space="preserve"> </w:t>
      </w:r>
      <w:r w:rsidRPr="00911F4F">
        <w:rPr>
          <w:rFonts w:ascii="Garamond" w:hAnsi="Garamond" w:cs="Arial"/>
          <w:sz w:val="24"/>
          <w:szCs w:val="24"/>
        </w:rPr>
        <w:t>Même pour une dépense de faible montant, le bénéficiaire doit conserver une piste d’audit suffisante.</w:t>
      </w:r>
    </w:p>
    <w:p w14:paraId="533F7ACF" w14:textId="77777777" w:rsidR="00911F4F" w:rsidRPr="00911F4F" w:rsidRDefault="00911F4F" w:rsidP="00911F4F">
      <w:pPr>
        <w:spacing w:after="0" w:line="240" w:lineRule="auto"/>
        <w:rPr>
          <w:rFonts w:ascii="Garamond" w:hAnsi="Garamond" w:cs="Arial"/>
          <w:sz w:val="24"/>
          <w:szCs w:val="24"/>
        </w:rPr>
      </w:pPr>
    </w:p>
    <w:p w14:paraId="455745DE" w14:textId="77777777" w:rsidR="00911F4F" w:rsidRPr="00E52172" w:rsidRDefault="00911F4F" w:rsidP="00E52172">
      <w:pPr>
        <w:pStyle w:val="Paragraphedeliste"/>
        <w:numPr>
          <w:ilvl w:val="0"/>
          <w:numId w:val="1"/>
        </w:numPr>
        <w:spacing w:after="0" w:line="240" w:lineRule="auto"/>
        <w:jc w:val="both"/>
        <w:rPr>
          <w:rFonts w:ascii="Garamond" w:hAnsi="Garamond" w:cs="Arial"/>
          <w:b/>
          <w:sz w:val="24"/>
          <w:szCs w:val="24"/>
          <w:highlight w:val="lightGray"/>
        </w:rPr>
      </w:pPr>
      <w:r w:rsidRPr="00E52172">
        <w:rPr>
          <w:rFonts w:ascii="Garamond" w:hAnsi="Garamond" w:cs="Arial"/>
          <w:b/>
          <w:sz w:val="24"/>
          <w:szCs w:val="24"/>
          <w:highlight w:val="lightGray"/>
        </w:rPr>
        <w:t>Dans notre programme, un hangar est prévu. Sa construction comprend la main-d’œuvre et les matériaux. Pour les petites dépenses, le chef d’entreprise a parfois acheté directement des matériaux, par exemple des tôles ou divers matériaux, sans demander de devis préalable, puis a récupéré une facture acquittée. Pour les grosses dépenses, un devis préalable a toujours été demandé. Ces petites dépenses sans devis sont-elles recevables ?</w:t>
      </w:r>
    </w:p>
    <w:p w14:paraId="40203A5A" w14:textId="77777777" w:rsidR="00911F4F" w:rsidRPr="00911F4F" w:rsidRDefault="00911F4F" w:rsidP="00911F4F">
      <w:pPr>
        <w:spacing w:after="0" w:line="240" w:lineRule="auto"/>
        <w:rPr>
          <w:rFonts w:ascii="Garamond" w:hAnsi="Garamond" w:cs="Arial"/>
          <w:sz w:val="24"/>
          <w:szCs w:val="24"/>
        </w:rPr>
      </w:pPr>
    </w:p>
    <w:p w14:paraId="2F6B6D55"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L’absence de devis préalable pour de petites dépenses de matériaux ne rend pas automatiquement la dépense inéligible.</w:t>
      </w:r>
    </w:p>
    <w:p w14:paraId="474E192A" w14:textId="77777777" w:rsidR="00911F4F" w:rsidRPr="00911F4F" w:rsidRDefault="00911F4F" w:rsidP="00E52172">
      <w:pPr>
        <w:spacing w:after="0" w:line="240" w:lineRule="auto"/>
        <w:jc w:val="both"/>
        <w:rPr>
          <w:rFonts w:ascii="Garamond" w:hAnsi="Garamond" w:cs="Arial"/>
          <w:sz w:val="24"/>
          <w:szCs w:val="24"/>
        </w:rPr>
      </w:pPr>
    </w:p>
    <w:p w14:paraId="1A283E72"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Dès lors que le hangar est bien prévu dans le programme conventionné et que les matériaux achetés sont nécessaires à sa construction, les factures acquittées peuvent être présentées dans la demande de paiement.</w:t>
      </w:r>
    </w:p>
    <w:p w14:paraId="14F05B42" w14:textId="77777777" w:rsidR="00911F4F" w:rsidRPr="00911F4F" w:rsidRDefault="00911F4F" w:rsidP="00911F4F">
      <w:pPr>
        <w:spacing w:after="0" w:line="240" w:lineRule="auto"/>
        <w:rPr>
          <w:rFonts w:ascii="Garamond" w:hAnsi="Garamond" w:cs="Arial"/>
          <w:sz w:val="24"/>
          <w:szCs w:val="24"/>
        </w:rPr>
      </w:pPr>
    </w:p>
    <w:p w14:paraId="63E99D29"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Il conviendra toutefois de garantir une piste d’audit suffisante. Pour chaque dépense, le bénéficiaire devra pouvoir produire :</w:t>
      </w:r>
    </w:p>
    <w:p w14:paraId="143F11DA" w14:textId="77777777" w:rsidR="00911F4F" w:rsidRPr="00911F4F" w:rsidRDefault="00911F4F" w:rsidP="00E52172">
      <w:pPr>
        <w:spacing w:after="0" w:line="240" w:lineRule="auto"/>
        <w:jc w:val="both"/>
        <w:rPr>
          <w:rFonts w:ascii="Garamond" w:hAnsi="Garamond" w:cs="Arial"/>
          <w:sz w:val="24"/>
          <w:szCs w:val="24"/>
        </w:rPr>
      </w:pPr>
    </w:p>
    <w:p w14:paraId="529C9782" w14:textId="77777777" w:rsidR="00911F4F" w:rsidRPr="00E52172" w:rsidRDefault="00911F4F" w:rsidP="00E52172">
      <w:pPr>
        <w:pStyle w:val="Paragraphedeliste"/>
        <w:numPr>
          <w:ilvl w:val="0"/>
          <w:numId w:val="2"/>
        </w:numPr>
        <w:spacing w:after="0" w:line="240" w:lineRule="auto"/>
        <w:jc w:val="both"/>
        <w:rPr>
          <w:rFonts w:ascii="Garamond" w:hAnsi="Garamond" w:cs="Arial"/>
          <w:sz w:val="24"/>
          <w:szCs w:val="24"/>
        </w:rPr>
      </w:pPr>
      <w:proofErr w:type="gramStart"/>
      <w:r w:rsidRPr="00E52172">
        <w:rPr>
          <w:rFonts w:ascii="Garamond" w:hAnsi="Garamond" w:cs="Arial"/>
          <w:sz w:val="24"/>
          <w:szCs w:val="24"/>
        </w:rPr>
        <w:t>la</w:t>
      </w:r>
      <w:proofErr w:type="gramEnd"/>
      <w:r w:rsidRPr="00E52172">
        <w:rPr>
          <w:rFonts w:ascii="Garamond" w:hAnsi="Garamond" w:cs="Arial"/>
          <w:sz w:val="24"/>
          <w:szCs w:val="24"/>
        </w:rPr>
        <w:t xml:space="preserve"> facture acquittée, ou la facture accompagnée d’une preuve de paiement ;</w:t>
      </w:r>
    </w:p>
    <w:p w14:paraId="5C6D42B9" w14:textId="77777777" w:rsidR="00911F4F" w:rsidRPr="00E52172" w:rsidRDefault="00911F4F" w:rsidP="00E52172">
      <w:pPr>
        <w:pStyle w:val="Paragraphedeliste"/>
        <w:numPr>
          <w:ilvl w:val="0"/>
          <w:numId w:val="2"/>
        </w:numPr>
        <w:spacing w:after="0" w:line="240" w:lineRule="auto"/>
        <w:jc w:val="both"/>
        <w:rPr>
          <w:rFonts w:ascii="Garamond" w:hAnsi="Garamond" w:cs="Arial"/>
          <w:sz w:val="24"/>
          <w:szCs w:val="24"/>
        </w:rPr>
      </w:pPr>
      <w:proofErr w:type="gramStart"/>
      <w:r w:rsidRPr="00E52172">
        <w:rPr>
          <w:rFonts w:ascii="Garamond" w:hAnsi="Garamond" w:cs="Arial"/>
          <w:sz w:val="24"/>
          <w:szCs w:val="24"/>
        </w:rPr>
        <w:t>un</w:t>
      </w:r>
      <w:proofErr w:type="gramEnd"/>
      <w:r w:rsidRPr="00E52172">
        <w:rPr>
          <w:rFonts w:ascii="Garamond" w:hAnsi="Garamond" w:cs="Arial"/>
          <w:sz w:val="24"/>
          <w:szCs w:val="24"/>
        </w:rPr>
        <w:t xml:space="preserve"> libellé clair permettant d’identifier la nature des matériaux achetés ;</w:t>
      </w:r>
    </w:p>
    <w:p w14:paraId="66A58DA5" w14:textId="77777777" w:rsidR="00911F4F" w:rsidRPr="00E52172" w:rsidRDefault="00911F4F" w:rsidP="00E52172">
      <w:pPr>
        <w:pStyle w:val="Paragraphedeliste"/>
        <w:numPr>
          <w:ilvl w:val="0"/>
          <w:numId w:val="2"/>
        </w:numPr>
        <w:spacing w:after="0" w:line="240" w:lineRule="auto"/>
        <w:jc w:val="both"/>
        <w:rPr>
          <w:rFonts w:ascii="Garamond" w:hAnsi="Garamond" w:cs="Arial"/>
          <w:sz w:val="24"/>
          <w:szCs w:val="24"/>
        </w:rPr>
      </w:pPr>
      <w:proofErr w:type="gramStart"/>
      <w:r w:rsidRPr="00E52172">
        <w:rPr>
          <w:rFonts w:ascii="Garamond" w:hAnsi="Garamond" w:cs="Arial"/>
          <w:sz w:val="24"/>
          <w:szCs w:val="24"/>
        </w:rPr>
        <w:t>le</w:t>
      </w:r>
      <w:proofErr w:type="gramEnd"/>
      <w:r w:rsidRPr="00E52172">
        <w:rPr>
          <w:rFonts w:ascii="Garamond" w:hAnsi="Garamond" w:cs="Arial"/>
          <w:sz w:val="24"/>
          <w:szCs w:val="24"/>
        </w:rPr>
        <w:t xml:space="preserve"> rattachement de la dépense à la construction du hangar ;</w:t>
      </w:r>
    </w:p>
    <w:p w14:paraId="7837D5FE" w14:textId="77777777" w:rsidR="00911F4F" w:rsidRPr="00E52172" w:rsidRDefault="00911F4F" w:rsidP="00E52172">
      <w:pPr>
        <w:pStyle w:val="Paragraphedeliste"/>
        <w:numPr>
          <w:ilvl w:val="0"/>
          <w:numId w:val="2"/>
        </w:numPr>
        <w:spacing w:after="0" w:line="240" w:lineRule="auto"/>
        <w:jc w:val="both"/>
        <w:rPr>
          <w:rFonts w:ascii="Garamond" w:hAnsi="Garamond" w:cs="Arial"/>
          <w:sz w:val="24"/>
          <w:szCs w:val="24"/>
        </w:rPr>
      </w:pPr>
      <w:proofErr w:type="gramStart"/>
      <w:r w:rsidRPr="00E52172">
        <w:rPr>
          <w:rFonts w:ascii="Garamond" w:hAnsi="Garamond" w:cs="Arial"/>
          <w:sz w:val="24"/>
          <w:szCs w:val="24"/>
        </w:rPr>
        <w:t>tout</w:t>
      </w:r>
      <w:proofErr w:type="gramEnd"/>
      <w:r w:rsidRPr="00E52172">
        <w:rPr>
          <w:rFonts w:ascii="Garamond" w:hAnsi="Garamond" w:cs="Arial"/>
          <w:sz w:val="24"/>
          <w:szCs w:val="24"/>
        </w:rPr>
        <w:t xml:space="preserve"> élément utile permettant d’attester l’utilisation effective des matériaux dans l’opération : photos, situation de travaux, tableau de suivi, attestation, note explicative ou tout document équivalent.</w:t>
      </w:r>
    </w:p>
    <w:p w14:paraId="1119766D" w14:textId="77777777" w:rsidR="00E52172" w:rsidRDefault="00E52172" w:rsidP="00E52172">
      <w:pPr>
        <w:spacing w:after="0" w:line="240" w:lineRule="auto"/>
        <w:jc w:val="both"/>
        <w:rPr>
          <w:rFonts w:ascii="Garamond" w:hAnsi="Garamond" w:cs="Arial"/>
          <w:sz w:val="24"/>
          <w:szCs w:val="24"/>
        </w:rPr>
      </w:pPr>
    </w:p>
    <w:p w14:paraId="18E0DE89"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Dans E-Synergie, lorsqu’aucun devis n’a été établi pour ces achats directs de faible montant, il est possible d’indiquer “sans devis – achat direct de faible montant” ou “sans objet”, puis de rattacher la facture correspondante.</w:t>
      </w:r>
    </w:p>
    <w:p w14:paraId="05C5E452" w14:textId="77777777" w:rsidR="00911F4F" w:rsidRPr="00911F4F" w:rsidRDefault="00911F4F" w:rsidP="00911F4F">
      <w:pPr>
        <w:spacing w:after="0" w:line="240" w:lineRule="auto"/>
        <w:rPr>
          <w:rFonts w:ascii="Garamond" w:hAnsi="Garamond" w:cs="Arial"/>
          <w:sz w:val="24"/>
          <w:szCs w:val="24"/>
        </w:rPr>
      </w:pPr>
    </w:p>
    <w:p w14:paraId="13D4DA42" w14:textId="77777777" w:rsidR="00911F4F" w:rsidRPr="00911F4F" w:rsidRDefault="00911F4F" w:rsidP="00E52172">
      <w:pPr>
        <w:spacing w:after="0" w:line="240" w:lineRule="auto"/>
        <w:jc w:val="both"/>
        <w:rPr>
          <w:rFonts w:ascii="Garamond" w:hAnsi="Garamond" w:cs="Arial"/>
          <w:sz w:val="24"/>
          <w:szCs w:val="24"/>
        </w:rPr>
      </w:pPr>
      <w:r w:rsidRPr="00911F4F">
        <w:rPr>
          <w:rFonts w:ascii="Garamond" w:hAnsi="Garamond" w:cs="Arial"/>
          <w:sz w:val="24"/>
          <w:szCs w:val="24"/>
        </w:rPr>
        <w:t>Pour les dépenses plus importantes, les devis, bons de commande, contrats ou pièces de mise en concurrence doivent être conservés et transmis afin de sécuriser la piste d’audit.</w:t>
      </w:r>
    </w:p>
    <w:p w14:paraId="67C5DFDB" w14:textId="77777777" w:rsidR="00911F4F" w:rsidRPr="00911F4F" w:rsidRDefault="00911F4F" w:rsidP="00E52172">
      <w:pPr>
        <w:spacing w:after="0" w:line="240" w:lineRule="auto"/>
        <w:jc w:val="both"/>
        <w:rPr>
          <w:rFonts w:ascii="Garamond" w:hAnsi="Garamond" w:cs="Arial"/>
          <w:sz w:val="24"/>
          <w:szCs w:val="24"/>
        </w:rPr>
      </w:pPr>
    </w:p>
    <w:p w14:paraId="2D29B225" w14:textId="77777777" w:rsidR="00911F4F" w:rsidRPr="00911F4F" w:rsidRDefault="00911F4F" w:rsidP="00F01924">
      <w:pPr>
        <w:spacing w:after="0" w:line="240" w:lineRule="auto"/>
        <w:jc w:val="both"/>
        <w:rPr>
          <w:rFonts w:ascii="Garamond" w:hAnsi="Garamond" w:cs="Arial"/>
          <w:sz w:val="24"/>
          <w:szCs w:val="24"/>
        </w:rPr>
      </w:pPr>
      <w:r w:rsidRPr="00911F4F">
        <w:rPr>
          <w:rFonts w:ascii="Garamond" w:hAnsi="Garamond" w:cs="Arial"/>
          <w:sz w:val="24"/>
          <w:szCs w:val="24"/>
        </w:rPr>
        <w:t>Enfin, une vigilance particulière doit être portée à l’absence de fractionnement artificiel des achats. Des achats répétés de même nature, auprès du même fournisseur ou répondant à un même besoin, peuvent être appréciés globalement lors du contrôle. Dans ce cas, des éléments complémentaires pourront être demandés pour justifier la cohérence des montants et le respect des règles applicables.</w:t>
      </w:r>
    </w:p>
    <w:p w14:paraId="33A40A43" w14:textId="77777777" w:rsidR="00911F4F" w:rsidRPr="00911F4F" w:rsidRDefault="00911F4F" w:rsidP="00F01924">
      <w:pPr>
        <w:spacing w:after="0" w:line="240" w:lineRule="auto"/>
        <w:jc w:val="both"/>
        <w:rPr>
          <w:rFonts w:ascii="Garamond" w:hAnsi="Garamond" w:cs="Arial"/>
          <w:sz w:val="24"/>
          <w:szCs w:val="24"/>
        </w:rPr>
      </w:pPr>
    </w:p>
    <w:p w14:paraId="372A777E" w14:textId="77777777" w:rsidR="00911F4F" w:rsidRPr="00E52172" w:rsidRDefault="00911F4F" w:rsidP="00F01924">
      <w:pPr>
        <w:pStyle w:val="Paragraphedeliste"/>
        <w:numPr>
          <w:ilvl w:val="0"/>
          <w:numId w:val="1"/>
        </w:numPr>
        <w:spacing w:after="0" w:line="240" w:lineRule="auto"/>
        <w:jc w:val="both"/>
        <w:rPr>
          <w:rFonts w:ascii="Garamond" w:hAnsi="Garamond" w:cs="Arial"/>
          <w:b/>
          <w:sz w:val="24"/>
          <w:szCs w:val="24"/>
          <w:highlight w:val="lightGray"/>
        </w:rPr>
      </w:pPr>
      <w:r w:rsidRPr="00E52172">
        <w:rPr>
          <w:rFonts w:ascii="Garamond" w:hAnsi="Garamond" w:cs="Arial"/>
          <w:b/>
          <w:sz w:val="24"/>
          <w:szCs w:val="24"/>
          <w:highlight w:val="lightGray"/>
        </w:rPr>
        <w:t>Pour le nommage des factures, le numéro de facture uniquement suffit-il ?</w:t>
      </w:r>
    </w:p>
    <w:p w14:paraId="7336FDBA" w14:textId="77777777" w:rsidR="00911F4F" w:rsidRPr="00911F4F" w:rsidRDefault="00911F4F" w:rsidP="00F01924">
      <w:pPr>
        <w:spacing w:after="0" w:line="240" w:lineRule="auto"/>
        <w:jc w:val="both"/>
        <w:rPr>
          <w:rFonts w:ascii="Garamond" w:hAnsi="Garamond" w:cs="Arial"/>
          <w:sz w:val="24"/>
          <w:szCs w:val="24"/>
        </w:rPr>
      </w:pPr>
    </w:p>
    <w:p w14:paraId="1FB0CA6C" w14:textId="77777777" w:rsidR="00911F4F" w:rsidRPr="00911F4F" w:rsidRDefault="00F01924" w:rsidP="00F01924">
      <w:pPr>
        <w:spacing w:after="0" w:line="240" w:lineRule="auto"/>
        <w:jc w:val="both"/>
        <w:rPr>
          <w:rFonts w:ascii="Garamond" w:hAnsi="Garamond" w:cs="Arial"/>
          <w:sz w:val="24"/>
          <w:szCs w:val="24"/>
        </w:rPr>
      </w:pPr>
      <w:r>
        <w:rPr>
          <w:rFonts w:ascii="Garamond" w:hAnsi="Garamond" w:cs="Arial"/>
          <w:sz w:val="24"/>
          <w:szCs w:val="24"/>
        </w:rPr>
        <w:t xml:space="preserve">C’est acceptable mais il serait </w:t>
      </w:r>
      <w:r w:rsidR="00911F4F" w:rsidRPr="00911F4F">
        <w:rPr>
          <w:rFonts w:ascii="Garamond" w:hAnsi="Garamond" w:cs="Arial"/>
          <w:sz w:val="24"/>
          <w:szCs w:val="24"/>
        </w:rPr>
        <w:t>préférable d’utiliser un nommage court mais explicite.</w:t>
      </w:r>
      <w:r>
        <w:rPr>
          <w:rFonts w:ascii="Garamond" w:hAnsi="Garamond" w:cs="Arial"/>
          <w:sz w:val="24"/>
          <w:szCs w:val="24"/>
        </w:rPr>
        <w:t xml:space="preserve"> </w:t>
      </w:r>
      <w:r w:rsidR="00911F4F" w:rsidRPr="00911F4F">
        <w:rPr>
          <w:rFonts w:ascii="Garamond" w:hAnsi="Garamond" w:cs="Arial"/>
          <w:sz w:val="24"/>
          <w:szCs w:val="24"/>
        </w:rPr>
        <w:t>Le numéro de facture seul peut être insuffisant pour faciliter le contrôle. Il est recommandé d’indiquer également le nom du fournisseur et, si possible, la nature de la dépense.</w:t>
      </w:r>
    </w:p>
    <w:p w14:paraId="5C5262D4" w14:textId="77777777" w:rsidR="00911F4F" w:rsidRPr="00911F4F" w:rsidRDefault="00911F4F" w:rsidP="00F01924">
      <w:pPr>
        <w:spacing w:after="0" w:line="240" w:lineRule="auto"/>
        <w:jc w:val="both"/>
        <w:rPr>
          <w:rFonts w:ascii="Garamond" w:hAnsi="Garamond" w:cs="Arial"/>
          <w:sz w:val="24"/>
          <w:szCs w:val="24"/>
        </w:rPr>
      </w:pPr>
    </w:p>
    <w:p w14:paraId="5FA657CC" w14:textId="77777777" w:rsidR="00911F4F" w:rsidRPr="00911F4F" w:rsidRDefault="00911F4F" w:rsidP="00F01924">
      <w:pPr>
        <w:spacing w:after="0" w:line="240" w:lineRule="auto"/>
        <w:jc w:val="both"/>
        <w:rPr>
          <w:rFonts w:ascii="Garamond" w:hAnsi="Garamond" w:cs="Arial"/>
          <w:sz w:val="24"/>
          <w:szCs w:val="24"/>
        </w:rPr>
      </w:pPr>
      <w:r w:rsidRPr="00911F4F">
        <w:rPr>
          <w:rFonts w:ascii="Garamond" w:hAnsi="Garamond" w:cs="Arial"/>
          <w:sz w:val="24"/>
          <w:szCs w:val="24"/>
        </w:rPr>
        <w:t>Le nommage doit permettre de faire facilement le lien entre la facture, la dépense saisie dans E-Synergie et l’état récapitulatif des dépenses.</w:t>
      </w:r>
    </w:p>
    <w:p w14:paraId="0B8325D3" w14:textId="77777777" w:rsidR="00911F4F" w:rsidRPr="00911F4F" w:rsidRDefault="00911F4F" w:rsidP="00911F4F">
      <w:pPr>
        <w:spacing w:after="0" w:line="240" w:lineRule="auto"/>
        <w:rPr>
          <w:rFonts w:ascii="Garamond" w:hAnsi="Garamond" w:cs="Arial"/>
          <w:sz w:val="24"/>
          <w:szCs w:val="24"/>
        </w:rPr>
      </w:pPr>
    </w:p>
    <w:p w14:paraId="414EB4AB" w14:textId="77777777" w:rsidR="00911F4F" w:rsidRPr="00F01924" w:rsidRDefault="00911F4F" w:rsidP="00F01924">
      <w:pPr>
        <w:pStyle w:val="Paragraphedeliste"/>
        <w:numPr>
          <w:ilvl w:val="0"/>
          <w:numId w:val="1"/>
        </w:numPr>
        <w:spacing w:after="0" w:line="240" w:lineRule="auto"/>
        <w:jc w:val="both"/>
        <w:rPr>
          <w:rFonts w:ascii="Garamond" w:hAnsi="Garamond" w:cs="Arial"/>
          <w:b/>
          <w:sz w:val="24"/>
          <w:szCs w:val="24"/>
          <w:highlight w:val="lightGray"/>
        </w:rPr>
      </w:pPr>
      <w:r w:rsidRPr="00F01924">
        <w:rPr>
          <w:rFonts w:ascii="Garamond" w:hAnsi="Garamond" w:cs="Arial"/>
          <w:b/>
          <w:sz w:val="24"/>
          <w:szCs w:val="24"/>
          <w:highlight w:val="lightGray"/>
        </w:rPr>
        <w:t>Au cours de l’exécution des travaux, il peut y avoir des avenants financiers suite à des aléas techniques ou autres. La plus-value ou la moins-value est-elle prise en compte ?</w:t>
      </w:r>
    </w:p>
    <w:p w14:paraId="0375D3A0" w14:textId="77777777" w:rsidR="00911F4F" w:rsidRPr="00911F4F" w:rsidRDefault="00911F4F" w:rsidP="00911F4F">
      <w:pPr>
        <w:spacing w:after="0" w:line="240" w:lineRule="auto"/>
        <w:rPr>
          <w:rFonts w:ascii="Garamond" w:hAnsi="Garamond" w:cs="Arial"/>
          <w:sz w:val="24"/>
          <w:szCs w:val="24"/>
        </w:rPr>
      </w:pPr>
    </w:p>
    <w:p w14:paraId="5A4449E2" w14:textId="77777777" w:rsidR="00911F4F" w:rsidRPr="00911F4F" w:rsidRDefault="00911F4F" w:rsidP="00F01924">
      <w:pPr>
        <w:spacing w:after="0" w:line="240" w:lineRule="auto"/>
        <w:jc w:val="both"/>
        <w:rPr>
          <w:rFonts w:ascii="Garamond" w:hAnsi="Garamond" w:cs="Arial"/>
          <w:sz w:val="24"/>
          <w:szCs w:val="24"/>
        </w:rPr>
      </w:pPr>
      <w:r w:rsidRPr="00911F4F">
        <w:rPr>
          <w:rFonts w:ascii="Garamond" w:hAnsi="Garamond" w:cs="Arial"/>
          <w:sz w:val="24"/>
          <w:szCs w:val="24"/>
        </w:rPr>
        <w:t>Oui, mais pas automatiquement.</w:t>
      </w:r>
      <w:r w:rsidR="00F01924">
        <w:rPr>
          <w:rFonts w:ascii="Garamond" w:hAnsi="Garamond" w:cs="Arial"/>
          <w:sz w:val="24"/>
          <w:szCs w:val="24"/>
        </w:rPr>
        <w:t xml:space="preserve"> </w:t>
      </w:r>
      <w:r w:rsidRPr="00911F4F">
        <w:rPr>
          <w:rFonts w:ascii="Garamond" w:hAnsi="Garamond" w:cs="Arial"/>
          <w:sz w:val="24"/>
          <w:szCs w:val="24"/>
        </w:rPr>
        <w:t>Une plus-value peut être prise en compte si elle reste dans le périmètre de l’opération conventionnée, si elle est nécessaire à la réalisation du projet, si elle respecte la période d’éligibilité, les règles de commande publique ou de mise en concurrence, les plafonds d’aide et les règles applicables au fonds concerné.</w:t>
      </w:r>
    </w:p>
    <w:p w14:paraId="08D35C1D" w14:textId="77777777" w:rsidR="00911F4F" w:rsidRPr="00911F4F" w:rsidRDefault="00911F4F" w:rsidP="00F01924">
      <w:pPr>
        <w:spacing w:after="0" w:line="240" w:lineRule="auto"/>
        <w:jc w:val="both"/>
        <w:rPr>
          <w:rFonts w:ascii="Garamond" w:hAnsi="Garamond" w:cs="Arial"/>
          <w:sz w:val="24"/>
          <w:szCs w:val="24"/>
        </w:rPr>
      </w:pPr>
    </w:p>
    <w:p w14:paraId="2F81856D" w14:textId="77777777" w:rsidR="00911F4F" w:rsidRPr="00911F4F" w:rsidRDefault="00911F4F" w:rsidP="00F01924">
      <w:pPr>
        <w:spacing w:after="0" w:line="240" w:lineRule="auto"/>
        <w:jc w:val="both"/>
        <w:rPr>
          <w:rFonts w:ascii="Garamond" w:hAnsi="Garamond" w:cs="Arial"/>
          <w:sz w:val="24"/>
          <w:szCs w:val="24"/>
        </w:rPr>
      </w:pPr>
      <w:r w:rsidRPr="00911F4F">
        <w:rPr>
          <w:rFonts w:ascii="Garamond" w:hAnsi="Garamond" w:cs="Arial"/>
          <w:sz w:val="24"/>
          <w:szCs w:val="24"/>
        </w:rPr>
        <w:t>Elle peut nécessiter une validation préalable ou un avenant à la convention de financement.</w:t>
      </w:r>
    </w:p>
    <w:p w14:paraId="16E8659D" w14:textId="77777777" w:rsidR="00911F4F" w:rsidRPr="00911F4F" w:rsidRDefault="00911F4F" w:rsidP="00F01924">
      <w:pPr>
        <w:spacing w:after="0" w:line="240" w:lineRule="auto"/>
        <w:jc w:val="both"/>
        <w:rPr>
          <w:rFonts w:ascii="Garamond" w:hAnsi="Garamond" w:cs="Arial"/>
          <w:sz w:val="24"/>
          <w:szCs w:val="24"/>
        </w:rPr>
      </w:pPr>
    </w:p>
    <w:p w14:paraId="6C8F08A8" w14:textId="77777777" w:rsidR="00911F4F" w:rsidRPr="00911F4F" w:rsidRDefault="00911F4F" w:rsidP="00F01924">
      <w:pPr>
        <w:spacing w:after="0" w:line="240" w:lineRule="auto"/>
        <w:jc w:val="both"/>
        <w:rPr>
          <w:rFonts w:ascii="Garamond" w:hAnsi="Garamond" w:cs="Arial"/>
          <w:sz w:val="24"/>
          <w:szCs w:val="24"/>
        </w:rPr>
      </w:pPr>
      <w:r w:rsidRPr="00911F4F">
        <w:rPr>
          <w:rFonts w:ascii="Garamond" w:hAnsi="Garamond" w:cs="Arial"/>
          <w:sz w:val="24"/>
          <w:szCs w:val="24"/>
        </w:rPr>
        <w:t>Une moins-value doit également être signalée. Elle peut conduire à une réduction de l’assiette éligible et donc du montant de l’aide versée.</w:t>
      </w:r>
    </w:p>
    <w:p w14:paraId="464BFFF4" w14:textId="77777777" w:rsidR="00911F4F" w:rsidRPr="00911F4F" w:rsidRDefault="00911F4F" w:rsidP="00F01924">
      <w:pPr>
        <w:spacing w:after="0" w:line="240" w:lineRule="auto"/>
        <w:jc w:val="both"/>
        <w:rPr>
          <w:rFonts w:ascii="Garamond" w:hAnsi="Garamond" w:cs="Arial"/>
          <w:sz w:val="24"/>
          <w:szCs w:val="24"/>
        </w:rPr>
      </w:pPr>
    </w:p>
    <w:p w14:paraId="6CA71545" w14:textId="77777777" w:rsidR="00911F4F" w:rsidRPr="00911F4F" w:rsidRDefault="00911F4F" w:rsidP="00F01924">
      <w:pPr>
        <w:spacing w:after="0" w:line="240" w:lineRule="auto"/>
        <w:jc w:val="both"/>
        <w:rPr>
          <w:rFonts w:ascii="Garamond" w:hAnsi="Garamond" w:cs="Arial"/>
          <w:sz w:val="24"/>
          <w:szCs w:val="24"/>
        </w:rPr>
      </w:pPr>
      <w:r w:rsidRPr="00911F4F">
        <w:rPr>
          <w:rFonts w:ascii="Garamond" w:hAnsi="Garamond" w:cs="Arial"/>
          <w:sz w:val="24"/>
          <w:szCs w:val="24"/>
        </w:rPr>
        <w:t>Dans tous les cas, les avenants, situations de travaux, ordres de service ou pièces équivalentes doivent être transmis afin de permettre le contrôle.</w:t>
      </w:r>
    </w:p>
    <w:p w14:paraId="60E7EBE7" w14:textId="77777777" w:rsidR="00911F4F" w:rsidRDefault="00911F4F" w:rsidP="00911F4F">
      <w:pPr>
        <w:spacing w:after="0" w:line="240" w:lineRule="auto"/>
        <w:rPr>
          <w:rFonts w:ascii="Garamond" w:hAnsi="Garamond" w:cs="Arial"/>
          <w:sz w:val="24"/>
          <w:szCs w:val="24"/>
        </w:rPr>
      </w:pPr>
    </w:p>
    <w:p w14:paraId="3C51F63A" w14:textId="77777777" w:rsidR="00F01924" w:rsidRDefault="00F01924" w:rsidP="00911F4F">
      <w:pPr>
        <w:spacing w:after="0" w:line="240" w:lineRule="auto"/>
        <w:rPr>
          <w:rFonts w:ascii="Garamond" w:hAnsi="Garamond" w:cs="Arial"/>
          <w:sz w:val="24"/>
          <w:szCs w:val="24"/>
        </w:rPr>
      </w:pPr>
    </w:p>
    <w:p w14:paraId="2F5FEBD5" w14:textId="77777777" w:rsidR="00F01924" w:rsidRDefault="00F01924" w:rsidP="00911F4F">
      <w:pPr>
        <w:spacing w:after="0" w:line="240" w:lineRule="auto"/>
        <w:rPr>
          <w:rFonts w:ascii="Garamond" w:hAnsi="Garamond" w:cs="Arial"/>
          <w:sz w:val="24"/>
          <w:szCs w:val="24"/>
        </w:rPr>
      </w:pPr>
    </w:p>
    <w:p w14:paraId="0DE71F47" w14:textId="77777777" w:rsidR="00F01924" w:rsidRPr="00911F4F" w:rsidRDefault="00F01924" w:rsidP="00911F4F">
      <w:pPr>
        <w:spacing w:after="0" w:line="240" w:lineRule="auto"/>
        <w:rPr>
          <w:rFonts w:ascii="Garamond" w:hAnsi="Garamond" w:cs="Arial"/>
          <w:sz w:val="24"/>
          <w:szCs w:val="24"/>
        </w:rPr>
      </w:pPr>
    </w:p>
    <w:p w14:paraId="76A7928C" w14:textId="77777777" w:rsidR="00911F4F" w:rsidRPr="00F01924" w:rsidRDefault="00911F4F" w:rsidP="00F01924">
      <w:pPr>
        <w:pStyle w:val="Paragraphedeliste"/>
        <w:numPr>
          <w:ilvl w:val="0"/>
          <w:numId w:val="1"/>
        </w:numPr>
        <w:spacing w:after="0" w:line="240" w:lineRule="auto"/>
        <w:jc w:val="both"/>
        <w:rPr>
          <w:rFonts w:ascii="Garamond" w:hAnsi="Garamond" w:cs="Arial"/>
          <w:b/>
          <w:sz w:val="24"/>
          <w:szCs w:val="24"/>
          <w:highlight w:val="lightGray"/>
        </w:rPr>
      </w:pPr>
      <w:r w:rsidRPr="00F01924">
        <w:rPr>
          <w:rFonts w:ascii="Garamond" w:hAnsi="Garamond" w:cs="Arial"/>
          <w:b/>
          <w:sz w:val="24"/>
          <w:szCs w:val="24"/>
          <w:highlight w:val="lightGray"/>
        </w:rPr>
        <w:t>Dans le dossier, faut-il aussi ranger les factures dans l’ordre ?</w:t>
      </w:r>
    </w:p>
    <w:p w14:paraId="15AE0810" w14:textId="77777777" w:rsidR="00911F4F" w:rsidRPr="00911F4F" w:rsidRDefault="00911F4F" w:rsidP="00911F4F">
      <w:pPr>
        <w:spacing w:after="0" w:line="240" w:lineRule="auto"/>
        <w:rPr>
          <w:rFonts w:ascii="Garamond" w:hAnsi="Garamond" w:cs="Arial"/>
          <w:sz w:val="24"/>
          <w:szCs w:val="24"/>
        </w:rPr>
      </w:pPr>
    </w:p>
    <w:p w14:paraId="50780363" w14:textId="77777777" w:rsidR="00911F4F" w:rsidRPr="00911F4F" w:rsidRDefault="00911F4F" w:rsidP="00F01924">
      <w:pPr>
        <w:spacing w:after="0" w:line="240" w:lineRule="auto"/>
        <w:jc w:val="both"/>
        <w:rPr>
          <w:rFonts w:ascii="Garamond" w:hAnsi="Garamond" w:cs="Arial"/>
          <w:sz w:val="24"/>
          <w:szCs w:val="24"/>
        </w:rPr>
      </w:pPr>
      <w:r w:rsidRPr="00911F4F">
        <w:rPr>
          <w:rFonts w:ascii="Garamond" w:hAnsi="Garamond" w:cs="Arial"/>
          <w:sz w:val="24"/>
          <w:szCs w:val="24"/>
        </w:rPr>
        <w:t>Oui.</w:t>
      </w:r>
      <w:r w:rsidR="00F01924">
        <w:rPr>
          <w:rFonts w:ascii="Garamond" w:hAnsi="Garamond" w:cs="Arial"/>
          <w:sz w:val="24"/>
          <w:szCs w:val="24"/>
        </w:rPr>
        <w:t xml:space="preserve"> </w:t>
      </w:r>
      <w:r w:rsidRPr="00911F4F">
        <w:rPr>
          <w:rFonts w:ascii="Garamond" w:hAnsi="Garamond" w:cs="Arial"/>
          <w:sz w:val="24"/>
          <w:szCs w:val="24"/>
        </w:rPr>
        <w:t>Il est fortement recommandé de ranger les factures dans le même ordre que l’état récapitulatif des dépenses et que la saisie dans E-Synergie.</w:t>
      </w:r>
      <w:r w:rsidR="00F01924">
        <w:rPr>
          <w:rFonts w:ascii="Garamond" w:hAnsi="Garamond" w:cs="Arial"/>
          <w:sz w:val="24"/>
          <w:szCs w:val="24"/>
        </w:rPr>
        <w:t xml:space="preserve"> </w:t>
      </w:r>
      <w:r w:rsidRPr="00911F4F">
        <w:rPr>
          <w:rFonts w:ascii="Garamond" w:hAnsi="Garamond" w:cs="Arial"/>
          <w:sz w:val="24"/>
          <w:szCs w:val="24"/>
        </w:rPr>
        <w:t>Ce classement facilite le contrôle de service fait, accélère l’instruction de la demande de paiement et limite les demandes de pièces complémentaires.</w:t>
      </w:r>
    </w:p>
    <w:p w14:paraId="2726C1EF" w14:textId="77777777" w:rsidR="00911F4F" w:rsidRPr="00911F4F" w:rsidRDefault="00911F4F" w:rsidP="00F01924">
      <w:pPr>
        <w:spacing w:after="0" w:line="240" w:lineRule="auto"/>
        <w:jc w:val="both"/>
        <w:rPr>
          <w:rFonts w:ascii="Garamond" w:hAnsi="Garamond" w:cs="Arial"/>
          <w:sz w:val="24"/>
          <w:szCs w:val="24"/>
        </w:rPr>
      </w:pPr>
    </w:p>
    <w:p w14:paraId="14EAC6EB" w14:textId="77777777" w:rsidR="00911F4F" w:rsidRPr="00911F4F" w:rsidRDefault="00911F4F" w:rsidP="00F01924">
      <w:pPr>
        <w:spacing w:after="0" w:line="240" w:lineRule="auto"/>
        <w:jc w:val="both"/>
        <w:rPr>
          <w:rFonts w:ascii="Garamond" w:hAnsi="Garamond" w:cs="Arial"/>
          <w:sz w:val="24"/>
          <w:szCs w:val="24"/>
        </w:rPr>
      </w:pPr>
      <w:r w:rsidRPr="00911F4F">
        <w:rPr>
          <w:rFonts w:ascii="Garamond" w:hAnsi="Garamond" w:cs="Arial"/>
          <w:sz w:val="24"/>
          <w:szCs w:val="24"/>
        </w:rPr>
        <w:t>Une présentation claire du dossier est un élément important de sécurisation de la piste d’audit.</w:t>
      </w:r>
    </w:p>
    <w:p w14:paraId="0DDDD7BA" w14:textId="77777777" w:rsidR="00911F4F" w:rsidRPr="00911F4F" w:rsidRDefault="00911F4F" w:rsidP="00911F4F">
      <w:pPr>
        <w:spacing w:after="0" w:line="240" w:lineRule="auto"/>
        <w:rPr>
          <w:rFonts w:ascii="Garamond" w:hAnsi="Garamond" w:cs="Arial"/>
          <w:sz w:val="24"/>
          <w:szCs w:val="24"/>
        </w:rPr>
      </w:pPr>
    </w:p>
    <w:p w14:paraId="12A9B072" w14:textId="77777777" w:rsidR="00911F4F" w:rsidRPr="00F01924" w:rsidRDefault="00911F4F" w:rsidP="00F01924">
      <w:pPr>
        <w:pStyle w:val="Paragraphedeliste"/>
        <w:numPr>
          <w:ilvl w:val="0"/>
          <w:numId w:val="1"/>
        </w:numPr>
        <w:spacing w:after="0" w:line="240" w:lineRule="auto"/>
        <w:jc w:val="both"/>
        <w:rPr>
          <w:rFonts w:ascii="Garamond" w:hAnsi="Garamond" w:cs="Arial"/>
          <w:b/>
          <w:sz w:val="24"/>
          <w:szCs w:val="24"/>
          <w:highlight w:val="lightGray"/>
        </w:rPr>
      </w:pPr>
      <w:r w:rsidRPr="00F01924">
        <w:rPr>
          <w:rFonts w:ascii="Garamond" w:hAnsi="Garamond" w:cs="Arial"/>
          <w:b/>
          <w:sz w:val="24"/>
          <w:szCs w:val="24"/>
          <w:highlight w:val="lightGray"/>
        </w:rPr>
        <w:t>Les tableaux de ressources et de dépenses en plan de financement sont difficilement lisibles à l’impression. Que faire ?</w:t>
      </w:r>
    </w:p>
    <w:p w14:paraId="12E2CFE5" w14:textId="77777777" w:rsidR="00911F4F" w:rsidRPr="00911F4F" w:rsidRDefault="00911F4F" w:rsidP="00911F4F">
      <w:pPr>
        <w:spacing w:after="0" w:line="240" w:lineRule="auto"/>
        <w:rPr>
          <w:rFonts w:ascii="Garamond" w:hAnsi="Garamond" w:cs="Arial"/>
          <w:sz w:val="24"/>
          <w:szCs w:val="24"/>
        </w:rPr>
      </w:pPr>
    </w:p>
    <w:p w14:paraId="224E4CCD" w14:textId="77777777" w:rsidR="00911F4F" w:rsidRPr="00911F4F" w:rsidRDefault="00911F4F" w:rsidP="00F01924">
      <w:pPr>
        <w:spacing w:after="0" w:line="240" w:lineRule="auto"/>
        <w:jc w:val="both"/>
        <w:rPr>
          <w:rFonts w:ascii="Garamond" w:hAnsi="Garamond" w:cs="Arial"/>
          <w:sz w:val="24"/>
          <w:szCs w:val="24"/>
        </w:rPr>
      </w:pPr>
      <w:r w:rsidRPr="00911F4F">
        <w:rPr>
          <w:rFonts w:ascii="Garamond" w:hAnsi="Garamond" w:cs="Arial"/>
          <w:sz w:val="24"/>
          <w:szCs w:val="24"/>
        </w:rPr>
        <w:t>Lorsque les tableaux sont difficilement lisibles à l’impression, il est recommandé de transmettre également une version numérique exploitable, par exemple au format tableur ou PDF lisible.</w:t>
      </w:r>
    </w:p>
    <w:p w14:paraId="30E50853" w14:textId="77777777" w:rsidR="00911F4F" w:rsidRPr="00911F4F" w:rsidRDefault="00911F4F" w:rsidP="00F01924">
      <w:pPr>
        <w:spacing w:after="0" w:line="240" w:lineRule="auto"/>
        <w:jc w:val="both"/>
        <w:rPr>
          <w:rFonts w:ascii="Garamond" w:hAnsi="Garamond" w:cs="Arial"/>
          <w:sz w:val="24"/>
          <w:szCs w:val="24"/>
        </w:rPr>
      </w:pPr>
    </w:p>
    <w:p w14:paraId="5D7D264D" w14:textId="77777777" w:rsidR="00911F4F" w:rsidRPr="00911F4F" w:rsidRDefault="00911F4F" w:rsidP="00F01924">
      <w:pPr>
        <w:spacing w:after="0" w:line="240" w:lineRule="auto"/>
        <w:jc w:val="both"/>
        <w:rPr>
          <w:rFonts w:ascii="Garamond" w:hAnsi="Garamond" w:cs="Arial"/>
          <w:sz w:val="24"/>
          <w:szCs w:val="24"/>
        </w:rPr>
      </w:pPr>
      <w:r w:rsidRPr="00911F4F">
        <w:rPr>
          <w:rFonts w:ascii="Garamond" w:hAnsi="Garamond" w:cs="Arial"/>
          <w:sz w:val="24"/>
          <w:szCs w:val="24"/>
        </w:rPr>
        <w:t>L’objectif est de permettre au service de vérifier clairement les montants, les postes de dépenses, les ressources, les cofinancements et les écarts éventuels entre le prévisionnel et le réalisé.</w:t>
      </w:r>
    </w:p>
    <w:p w14:paraId="2533431F" w14:textId="77777777" w:rsidR="00911F4F" w:rsidRPr="00911F4F" w:rsidRDefault="00911F4F" w:rsidP="00F01924">
      <w:pPr>
        <w:spacing w:after="0" w:line="240" w:lineRule="auto"/>
        <w:jc w:val="both"/>
        <w:rPr>
          <w:rFonts w:ascii="Garamond" w:hAnsi="Garamond" w:cs="Arial"/>
          <w:sz w:val="24"/>
          <w:szCs w:val="24"/>
        </w:rPr>
      </w:pPr>
    </w:p>
    <w:p w14:paraId="3AA2CC5C" w14:textId="77777777" w:rsidR="00911F4F" w:rsidRPr="00911F4F" w:rsidRDefault="00911F4F" w:rsidP="00F01924">
      <w:pPr>
        <w:spacing w:after="0" w:line="240" w:lineRule="auto"/>
        <w:jc w:val="both"/>
        <w:rPr>
          <w:rFonts w:ascii="Garamond" w:hAnsi="Garamond" w:cs="Arial"/>
          <w:sz w:val="24"/>
          <w:szCs w:val="24"/>
        </w:rPr>
      </w:pPr>
      <w:r w:rsidRPr="00911F4F">
        <w:rPr>
          <w:rFonts w:ascii="Garamond" w:hAnsi="Garamond" w:cs="Arial"/>
          <w:sz w:val="24"/>
          <w:szCs w:val="24"/>
        </w:rPr>
        <w:t>La lisibilité des documents transmis est importante pour éviter les erreurs d’analyse et les demandes de compléments.</w:t>
      </w:r>
    </w:p>
    <w:p w14:paraId="1286C5EF" w14:textId="77777777" w:rsidR="00911F4F" w:rsidRPr="00911F4F" w:rsidRDefault="00911F4F" w:rsidP="00911F4F">
      <w:pPr>
        <w:spacing w:after="0" w:line="240" w:lineRule="auto"/>
        <w:rPr>
          <w:rFonts w:ascii="Garamond" w:hAnsi="Garamond" w:cs="Arial"/>
          <w:sz w:val="24"/>
          <w:szCs w:val="24"/>
        </w:rPr>
      </w:pPr>
    </w:p>
    <w:p w14:paraId="57641380" w14:textId="77777777" w:rsidR="00911F4F" w:rsidRPr="00F01924" w:rsidRDefault="00911F4F" w:rsidP="00F01924">
      <w:pPr>
        <w:pStyle w:val="Paragraphedeliste"/>
        <w:numPr>
          <w:ilvl w:val="0"/>
          <w:numId w:val="1"/>
        </w:numPr>
        <w:spacing w:after="0" w:line="240" w:lineRule="auto"/>
        <w:jc w:val="both"/>
        <w:rPr>
          <w:rFonts w:ascii="Garamond" w:hAnsi="Garamond" w:cs="Arial"/>
          <w:b/>
          <w:sz w:val="24"/>
          <w:szCs w:val="24"/>
          <w:highlight w:val="lightGray"/>
        </w:rPr>
      </w:pPr>
      <w:r w:rsidRPr="00F01924">
        <w:rPr>
          <w:rFonts w:ascii="Garamond" w:hAnsi="Garamond" w:cs="Arial"/>
          <w:b/>
          <w:sz w:val="24"/>
          <w:szCs w:val="24"/>
          <w:highlight w:val="lightGray"/>
        </w:rPr>
        <w:t>Les factures doivent-elles être en français ?</w:t>
      </w:r>
    </w:p>
    <w:p w14:paraId="354CFFC0" w14:textId="77777777" w:rsidR="00911F4F" w:rsidRPr="00911F4F" w:rsidRDefault="00911F4F" w:rsidP="00911F4F">
      <w:pPr>
        <w:spacing w:after="0" w:line="240" w:lineRule="auto"/>
        <w:rPr>
          <w:rFonts w:ascii="Garamond" w:hAnsi="Garamond" w:cs="Arial"/>
          <w:sz w:val="24"/>
          <w:szCs w:val="24"/>
        </w:rPr>
      </w:pPr>
    </w:p>
    <w:p w14:paraId="65FC31F4" w14:textId="77777777" w:rsidR="00911F4F" w:rsidRPr="00911F4F" w:rsidRDefault="00911F4F" w:rsidP="00F01924">
      <w:pPr>
        <w:spacing w:after="0" w:line="240" w:lineRule="auto"/>
        <w:jc w:val="both"/>
        <w:rPr>
          <w:rFonts w:ascii="Garamond" w:hAnsi="Garamond" w:cs="Arial"/>
          <w:sz w:val="24"/>
          <w:szCs w:val="24"/>
        </w:rPr>
      </w:pPr>
      <w:r w:rsidRPr="00911F4F">
        <w:rPr>
          <w:rFonts w:ascii="Garamond" w:hAnsi="Garamond" w:cs="Arial"/>
          <w:sz w:val="24"/>
          <w:szCs w:val="24"/>
        </w:rPr>
        <w:t>Les factures en français sont à privilégier.</w:t>
      </w:r>
      <w:r w:rsidR="00F01924">
        <w:rPr>
          <w:rFonts w:ascii="Garamond" w:hAnsi="Garamond" w:cs="Arial"/>
          <w:sz w:val="24"/>
          <w:szCs w:val="24"/>
        </w:rPr>
        <w:t xml:space="preserve"> </w:t>
      </w:r>
      <w:r w:rsidRPr="00911F4F">
        <w:rPr>
          <w:rFonts w:ascii="Garamond" w:hAnsi="Garamond" w:cs="Arial"/>
          <w:sz w:val="24"/>
          <w:szCs w:val="24"/>
        </w:rPr>
        <w:t>Lorsqu’une facture est établie dans une autre langue, elle peut être produite si les informations essentielles sont compréhensibles : fournisseur, bénéficiaire, date, nature de la dépense, montant, devise, taxes et conditions de paiement.</w:t>
      </w:r>
    </w:p>
    <w:p w14:paraId="1715493E" w14:textId="77777777" w:rsidR="00911F4F" w:rsidRPr="00911F4F" w:rsidRDefault="00911F4F" w:rsidP="00F01924">
      <w:pPr>
        <w:spacing w:after="0" w:line="240" w:lineRule="auto"/>
        <w:jc w:val="both"/>
        <w:rPr>
          <w:rFonts w:ascii="Garamond" w:hAnsi="Garamond" w:cs="Arial"/>
          <w:sz w:val="24"/>
          <w:szCs w:val="24"/>
        </w:rPr>
      </w:pPr>
    </w:p>
    <w:p w14:paraId="26A77CB5" w14:textId="77777777" w:rsidR="00D97EB9" w:rsidRPr="00911F4F" w:rsidRDefault="00911F4F" w:rsidP="00F01924">
      <w:pPr>
        <w:spacing w:after="0" w:line="240" w:lineRule="auto"/>
        <w:jc w:val="both"/>
        <w:rPr>
          <w:rFonts w:ascii="Garamond" w:hAnsi="Garamond" w:cs="Arial"/>
          <w:sz w:val="24"/>
          <w:szCs w:val="24"/>
        </w:rPr>
      </w:pPr>
      <w:r w:rsidRPr="00911F4F">
        <w:rPr>
          <w:rFonts w:ascii="Garamond" w:hAnsi="Garamond" w:cs="Arial"/>
          <w:sz w:val="24"/>
          <w:szCs w:val="24"/>
        </w:rPr>
        <w:t>L’autorité de gestion peut toutefois demander une traduction, notamment si la nature de la dépense, son rattachement au projet ou ses conditions de réalisation ne sont pas suffisamment clairs.</w:t>
      </w:r>
    </w:p>
    <w:sectPr w:rsidR="00D97EB9" w:rsidRPr="00911F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FB5E5D"/>
    <w:multiLevelType w:val="hybridMultilevel"/>
    <w:tmpl w:val="835022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6167B8A"/>
    <w:multiLevelType w:val="hybridMultilevel"/>
    <w:tmpl w:val="870E838C"/>
    <w:lvl w:ilvl="0" w:tplc="1F5C6B20">
      <w:numFmt w:val="bullet"/>
      <w:lvlText w:val="-"/>
      <w:lvlJc w:val="left"/>
      <w:pPr>
        <w:ind w:left="720" w:hanging="360"/>
      </w:pPr>
      <w:rPr>
        <w:rFonts w:ascii="Arial" w:eastAsiaTheme="minorEastAsia"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C5A54A8"/>
    <w:multiLevelType w:val="hybridMultilevel"/>
    <w:tmpl w:val="FA948D32"/>
    <w:lvl w:ilvl="0" w:tplc="1F5C6B20">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revisionView w:comment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F4F"/>
    <w:rsid w:val="00911F4F"/>
    <w:rsid w:val="00D97EB9"/>
    <w:rsid w:val="00E52172"/>
    <w:rsid w:val="00ED5DE7"/>
    <w:rsid w:val="00F019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C641"/>
  <w15:chartTrackingRefBased/>
  <w15:docId w15:val="{9C5FA1FA-BECE-4975-89D5-89732B9FB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1F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6BD2068B935B45ABFC0E6FB5716B29" ma:contentTypeVersion="17" ma:contentTypeDescription="Create a new document." ma:contentTypeScope="" ma:versionID="e80e9b732868299fe92e0c65dceab214">
  <xsd:schema xmlns:xsd="http://www.w3.org/2001/XMLSchema" xmlns:xs="http://www.w3.org/2001/XMLSchema" xmlns:p="http://schemas.microsoft.com/office/2006/metadata/properties" xmlns:ns3="fc29cc3c-44bc-4582-9752-a992c058f10d" xmlns:ns4="6860ea51-4197-422a-b946-0667a52993d3" targetNamespace="http://schemas.microsoft.com/office/2006/metadata/properties" ma:root="true" ma:fieldsID="425c0d343ec37a71b2ee306ab4b460f4" ns3:_="" ns4:_="">
    <xsd:import namespace="fc29cc3c-44bc-4582-9752-a992c058f10d"/>
    <xsd:import namespace="6860ea51-4197-422a-b946-0667a52993d3"/>
    <xsd:element name="properties">
      <xsd:complexType>
        <xsd:sequence>
          <xsd:element name="documentManagement">
            <xsd:complexType>
              <xsd:all>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SystemTags"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9cc3c-44bc-4582-9752-a992c058f10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_activity" ma:index="11" nillable="true" ma:displayName="_activity" ma:hidden="true" ma:internalName="_activity"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60ea51-4197-422a-b946-0667a52993d3"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fc29cc3c-44bc-4582-9752-a992c058f10d" xsi:nil="true"/>
    <_activity xmlns="fc29cc3c-44bc-4582-9752-a992c058f10d" xsi:nil="true"/>
    <MigrationWizIdPermissions xmlns="fc29cc3c-44bc-4582-9752-a992c058f10d" xsi:nil="true"/>
    <MigrationWizIdVersion xmlns="fc29cc3c-44bc-4582-9752-a992c058f10d" xsi:nil="true"/>
  </documentManagement>
</p:properties>
</file>

<file path=customXml/itemProps1.xml><?xml version="1.0" encoding="utf-8"?>
<ds:datastoreItem xmlns:ds="http://schemas.openxmlformats.org/officeDocument/2006/customXml" ds:itemID="{DBD872CB-7F6A-40E6-B5A5-E52AC644A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9cc3c-44bc-4582-9752-a992c058f10d"/>
    <ds:schemaRef ds:uri="6860ea51-4197-422a-b946-0667a5299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A94C9-9DAE-4FD2-8571-27B41DE821C7}">
  <ds:schemaRefs>
    <ds:schemaRef ds:uri="http://schemas.microsoft.com/sharepoint/v3/contenttype/forms"/>
  </ds:schemaRefs>
</ds:datastoreItem>
</file>

<file path=customXml/itemProps3.xml><?xml version="1.0" encoding="utf-8"?>
<ds:datastoreItem xmlns:ds="http://schemas.openxmlformats.org/officeDocument/2006/customXml" ds:itemID="{AAB1540B-AAC9-432F-9C35-8F4BCB7D95E4}">
  <ds:schemaRef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fc29cc3c-44bc-4582-9752-a992c058f10d"/>
    <ds:schemaRef ds:uri="6860ea51-4197-422a-b946-0667a52993d3"/>
    <ds:schemaRef ds:uri="http://purl.org/dc/term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2570</Words>
  <Characters>14137</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CONSEIL REGIONAL GUADELOUPE</Company>
  <LinksUpToDate>false</LinksUpToDate>
  <CharactersWithSpaces>16674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BLAIZEAU</dc:creator>
  <cp:keywords/>
  <dc:description/>
  <cp:lastModifiedBy>Samuel BLAIZEAU</cp:lastModifiedBy>
  <cp:revision>2</cp:revision>
  <dcterms:created xsi:type="dcterms:W3CDTF">2026-07-02T18:43:00Z</dcterms:created>
  <dcterms:modified xsi:type="dcterms:W3CDTF">2026-07-02T19:10:00Z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0x0101002C6BD2068B935B45ABFC0E6FB5716B29</vt:lpwstr>
  </property>
</Properties>
</file>